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620"/>
        <w:gridCol w:w="6660"/>
      </w:tblGrid>
      <w:tr w:rsidR="0023363E" w:rsidRPr="00A14243">
        <w:tc>
          <w:tcPr>
            <w:tcW w:w="1620" w:type="dxa"/>
            <w:tcBorders>
              <w:top w:val="nil"/>
              <w:left w:val="nil"/>
              <w:bottom w:val="nil"/>
              <w:right w:val="nil"/>
            </w:tcBorders>
          </w:tcPr>
          <w:p w:rsidR="0023363E" w:rsidRPr="00A14243" w:rsidRDefault="00FD3683" w:rsidP="000236C3">
            <w:pPr>
              <w:widowControl w:val="0"/>
              <w:autoSpaceDE w:val="0"/>
              <w:autoSpaceDN w:val="0"/>
              <w:adjustRightInd w:val="0"/>
              <w:ind w:right="72"/>
              <w:rPr>
                <w:rFonts w:ascii="Arial" w:hAnsi="Arial" w:cs="Arial"/>
                <w:lang w:val="de-CH"/>
              </w:rPr>
            </w:pPr>
            <w:bookmarkStart w:id="0" w:name="_GoBack"/>
            <w:bookmarkEnd w:id="0"/>
            <w:r>
              <w:rPr>
                <w:noProof/>
                <w:lang w:val="de-CH" w:eastAsia="de-CH"/>
              </w:rPr>
              <w:drawing>
                <wp:inline distT="0" distB="0" distL="0" distR="0">
                  <wp:extent cx="898525" cy="1027430"/>
                  <wp:effectExtent l="19050" t="0" r="0" b="0"/>
                  <wp:docPr id="1" name="Bild 1" descr="Schaff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affhausen"/>
                          <pic:cNvPicPr>
                            <a:picLocks noChangeAspect="1" noChangeArrowheads="1"/>
                          </pic:cNvPicPr>
                        </pic:nvPicPr>
                        <pic:blipFill>
                          <a:blip r:embed="rId7" cstate="print"/>
                          <a:srcRect/>
                          <a:stretch>
                            <a:fillRect/>
                          </a:stretch>
                        </pic:blipFill>
                        <pic:spPr bwMode="auto">
                          <a:xfrm>
                            <a:off x="0" y="0"/>
                            <a:ext cx="898525" cy="1027430"/>
                          </a:xfrm>
                          <a:prstGeom prst="rect">
                            <a:avLst/>
                          </a:prstGeom>
                          <a:noFill/>
                          <a:ln w="9525">
                            <a:noFill/>
                            <a:miter lim="800000"/>
                            <a:headEnd/>
                            <a:tailEnd/>
                          </a:ln>
                        </pic:spPr>
                      </pic:pic>
                    </a:graphicData>
                  </a:graphic>
                </wp:inline>
              </w:drawing>
            </w:r>
          </w:p>
        </w:tc>
        <w:tc>
          <w:tcPr>
            <w:tcW w:w="6660" w:type="dxa"/>
            <w:tcBorders>
              <w:top w:val="nil"/>
              <w:left w:val="nil"/>
              <w:bottom w:val="nil"/>
              <w:right w:val="nil"/>
            </w:tcBorders>
          </w:tcPr>
          <w:p w:rsidR="00137616" w:rsidRPr="0015084C" w:rsidRDefault="0023363E" w:rsidP="000236C3">
            <w:pPr>
              <w:widowControl w:val="0"/>
              <w:autoSpaceDE w:val="0"/>
              <w:autoSpaceDN w:val="0"/>
              <w:adjustRightInd w:val="0"/>
              <w:ind w:right="72"/>
              <w:rPr>
                <w:rFonts w:ascii="Arial" w:hAnsi="Arial" w:cs="Arial"/>
                <w:sz w:val="28"/>
                <w:szCs w:val="28"/>
                <w:lang w:val="de-CH"/>
              </w:rPr>
            </w:pPr>
            <w:r w:rsidRPr="0015084C">
              <w:rPr>
                <w:rFonts w:ascii="Arial" w:hAnsi="Arial" w:cs="Arial"/>
                <w:sz w:val="28"/>
                <w:szCs w:val="28"/>
                <w:lang w:val="de-CH"/>
              </w:rPr>
              <w:t> </w:t>
            </w:r>
          </w:p>
          <w:p w:rsidR="0015084C" w:rsidRPr="0015084C" w:rsidRDefault="0015084C" w:rsidP="000236C3">
            <w:pPr>
              <w:widowControl w:val="0"/>
              <w:autoSpaceDE w:val="0"/>
              <w:autoSpaceDN w:val="0"/>
              <w:adjustRightInd w:val="0"/>
              <w:ind w:right="72"/>
              <w:rPr>
                <w:rFonts w:ascii="Arial" w:hAnsi="Arial" w:cs="Arial"/>
                <w:b/>
                <w:sz w:val="28"/>
                <w:szCs w:val="28"/>
                <w:lang w:val="de-CH"/>
              </w:rPr>
            </w:pPr>
          </w:p>
          <w:p w:rsidR="0023363E" w:rsidRPr="00A14243" w:rsidRDefault="0023363E" w:rsidP="000236C3">
            <w:pPr>
              <w:widowControl w:val="0"/>
              <w:autoSpaceDE w:val="0"/>
              <w:autoSpaceDN w:val="0"/>
              <w:adjustRightInd w:val="0"/>
              <w:ind w:right="72"/>
              <w:rPr>
                <w:rFonts w:ascii="Arial" w:hAnsi="Arial" w:cs="Arial"/>
                <w:b/>
                <w:sz w:val="32"/>
                <w:szCs w:val="32"/>
                <w:lang w:val="de-CH"/>
              </w:rPr>
            </w:pPr>
            <w:r w:rsidRPr="00A14243">
              <w:rPr>
                <w:rFonts w:ascii="Arial" w:hAnsi="Arial" w:cs="Arial"/>
                <w:b/>
                <w:sz w:val="32"/>
                <w:szCs w:val="32"/>
                <w:lang w:val="de-CH"/>
              </w:rPr>
              <w:t>Grosser Stadtrat der Stadt Schaffhausen</w:t>
            </w:r>
          </w:p>
        </w:tc>
      </w:tr>
    </w:tbl>
    <w:p w:rsidR="005D5188" w:rsidRDefault="005D5188" w:rsidP="000236C3">
      <w:pPr>
        <w:ind w:right="72"/>
        <w:rPr>
          <w:rFonts w:ascii="Arial" w:hAnsi="Arial" w:cs="Arial"/>
          <w:b/>
        </w:rPr>
      </w:pPr>
    </w:p>
    <w:p w:rsidR="009B3709" w:rsidRDefault="009B3709" w:rsidP="000236C3">
      <w:pPr>
        <w:ind w:right="72"/>
        <w:rPr>
          <w:rFonts w:ascii="Arial" w:hAnsi="Arial" w:cs="Arial"/>
          <w:b/>
        </w:rPr>
      </w:pPr>
    </w:p>
    <w:p w:rsidR="00B55703" w:rsidRPr="00B55703" w:rsidRDefault="00B55703" w:rsidP="000236C3">
      <w:pPr>
        <w:ind w:right="72"/>
        <w:rPr>
          <w:rFonts w:ascii="Arial" w:hAnsi="Arial" w:cs="Arial"/>
          <w:b/>
        </w:rPr>
      </w:pPr>
      <w:r w:rsidRPr="00B55703">
        <w:rPr>
          <w:rFonts w:ascii="Arial" w:hAnsi="Arial" w:cs="Arial"/>
          <w:b/>
        </w:rPr>
        <w:t>BESCHLUSSPROTOKOLL</w:t>
      </w:r>
    </w:p>
    <w:p w:rsidR="00B55703" w:rsidRPr="005E00D6" w:rsidRDefault="004A6A5F" w:rsidP="000236C3">
      <w:pPr>
        <w:ind w:right="72"/>
        <w:rPr>
          <w:rFonts w:ascii="Arial" w:hAnsi="Arial" w:cs="Arial"/>
          <w:b/>
        </w:rPr>
      </w:pPr>
      <w:r>
        <w:rPr>
          <w:rFonts w:ascii="Arial" w:hAnsi="Arial" w:cs="Arial"/>
          <w:b/>
        </w:rPr>
        <w:t>7</w:t>
      </w:r>
      <w:r w:rsidR="00F17019">
        <w:rPr>
          <w:rFonts w:ascii="Arial" w:hAnsi="Arial" w:cs="Arial"/>
          <w:b/>
        </w:rPr>
        <w:t>.</w:t>
      </w:r>
      <w:r w:rsidR="005E00D6" w:rsidRPr="005E00D6">
        <w:rPr>
          <w:rFonts w:ascii="Arial" w:hAnsi="Arial" w:cs="Arial"/>
          <w:b/>
        </w:rPr>
        <w:t xml:space="preserve"> S</w:t>
      </w:r>
      <w:r w:rsidR="00B55703" w:rsidRPr="005E00D6">
        <w:rPr>
          <w:rFonts w:ascii="Arial" w:hAnsi="Arial" w:cs="Arial"/>
          <w:b/>
        </w:rPr>
        <w:t xml:space="preserve">itzung vom </w:t>
      </w:r>
      <w:r>
        <w:rPr>
          <w:rFonts w:ascii="Arial" w:hAnsi="Arial" w:cs="Arial"/>
          <w:b/>
        </w:rPr>
        <w:t>6</w:t>
      </w:r>
      <w:r w:rsidR="00E97CDC">
        <w:rPr>
          <w:rFonts w:ascii="Arial" w:hAnsi="Arial" w:cs="Arial"/>
          <w:b/>
        </w:rPr>
        <w:t xml:space="preserve">. </w:t>
      </w:r>
      <w:r>
        <w:rPr>
          <w:rFonts w:ascii="Arial" w:hAnsi="Arial" w:cs="Arial"/>
          <w:b/>
        </w:rPr>
        <w:t>Juni</w:t>
      </w:r>
      <w:r w:rsidR="00E97CDC">
        <w:rPr>
          <w:rFonts w:ascii="Arial" w:hAnsi="Arial" w:cs="Arial"/>
          <w:b/>
        </w:rPr>
        <w:t xml:space="preserve"> </w:t>
      </w:r>
      <w:r w:rsidR="00120119">
        <w:rPr>
          <w:rFonts w:ascii="Arial" w:hAnsi="Arial" w:cs="Arial"/>
          <w:b/>
        </w:rPr>
        <w:t>2017</w:t>
      </w:r>
    </w:p>
    <w:p w:rsidR="0058200E" w:rsidRDefault="0058200E" w:rsidP="000236C3">
      <w:pPr>
        <w:ind w:left="2124" w:right="72" w:hanging="2124"/>
        <w:jc w:val="both"/>
        <w:rPr>
          <w:rFonts w:ascii="Arial" w:hAnsi="Arial" w:cs="Arial"/>
          <w:b/>
        </w:rPr>
      </w:pPr>
    </w:p>
    <w:p w:rsidR="00E31A0B" w:rsidRDefault="00E31A0B" w:rsidP="000236C3">
      <w:pPr>
        <w:ind w:left="2124" w:right="72" w:hanging="2124"/>
        <w:jc w:val="both"/>
        <w:rPr>
          <w:rFonts w:ascii="Arial" w:hAnsi="Arial" w:cs="Arial"/>
          <w:b/>
        </w:rPr>
      </w:pPr>
    </w:p>
    <w:p w:rsidR="009B3709" w:rsidRDefault="009B3709" w:rsidP="000236C3">
      <w:pPr>
        <w:ind w:left="2124" w:right="72" w:hanging="2124"/>
        <w:jc w:val="both"/>
        <w:rPr>
          <w:rFonts w:ascii="Arial" w:hAnsi="Arial" w:cs="Arial"/>
          <w:b/>
        </w:rPr>
      </w:pPr>
    </w:p>
    <w:p w:rsidR="00A316C2" w:rsidRDefault="00E47A15" w:rsidP="004A6A5F">
      <w:pPr>
        <w:ind w:left="2124" w:right="72" w:hanging="2124"/>
        <w:rPr>
          <w:rFonts w:ascii="Arial" w:hAnsi="Arial" w:cs="Arial"/>
          <w:b/>
        </w:rPr>
      </w:pPr>
      <w:r w:rsidRPr="006D1974">
        <w:rPr>
          <w:rFonts w:ascii="Arial" w:hAnsi="Arial" w:cs="Arial"/>
          <w:b/>
        </w:rPr>
        <w:t xml:space="preserve">Traktandum </w:t>
      </w:r>
      <w:r>
        <w:rPr>
          <w:rFonts w:ascii="Arial" w:hAnsi="Arial" w:cs="Arial"/>
          <w:b/>
        </w:rPr>
        <w:t>1</w:t>
      </w:r>
      <w:r w:rsidR="0037316A">
        <w:rPr>
          <w:rFonts w:ascii="Arial" w:hAnsi="Arial" w:cs="Arial"/>
          <w:b/>
        </w:rPr>
        <w:tab/>
      </w:r>
      <w:r w:rsidR="004A6A5F">
        <w:rPr>
          <w:rFonts w:ascii="Arial" w:hAnsi="Arial" w:cs="Arial"/>
          <w:b/>
        </w:rPr>
        <w:t>Vorlage des Stadtrats vom 17. Januar 2017:</w:t>
      </w:r>
    </w:p>
    <w:p w:rsidR="004A6A5F" w:rsidRPr="006D1974" w:rsidRDefault="004A6A5F" w:rsidP="004A6A5F">
      <w:pPr>
        <w:ind w:left="2124" w:right="72" w:hanging="2124"/>
        <w:rPr>
          <w:rFonts w:ascii="Arial" w:hAnsi="Arial" w:cs="Arial"/>
          <w:b/>
        </w:rPr>
      </w:pPr>
      <w:r>
        <w:rPr>
          <w:rFonts w:ascii="Arial" w:hAnsi="Arial" w:cs="Arial"/>
          <w:b/>
        </w:rPr>
        <w:tab/>
        <w:t>SH POWER Erhöhung der Beteiligung an der Etawatt AG</w:t>
      </w:r>
    </w:p>
    <w:p w:rsidR="00E47A15" w:rsidRPr="006D1974" w:rsidRDefault="00E47A15" w:rsidP="000236C3">
      <w:pPr>
        <w:ind w:right="72"/>
        <w:jc w:val="both"/>
        <w:rPr>
          <w:rFonts w:ascii="Arial" w:hAnsi="Arial" w:cs="Arial"/>
          <w:b/>
        </w:rPr>
      </w:pPr>
      <w:r w:rsidRPr="006D1974">
        <w:rPr>
          <w:rFonts w:ascii="Arial" w:hAnsi="Arial" w:cs="Arial"/>
          <w:b/>
        </w:rPr>
        <w:t>__________________________________________________________________</w:t>
      </w:r>
      <w:r>
        <w:rPr>
          <w:rFonts w:ascii="Arial" w:hAnsi="Arial" w:cs="Arial"/>
          <w:b/>
        </w:rPr>
        <w:t>_</w:t>
      </w:r>
    </w:p>
    <w:p w:rsidR="009B3709" w:rsidRDefault="009B3709" w:rsidP="00C91732">
      <w:pPr>
        <w:ind w:right="311"/>
        <w:jc w:val="both"/>
        <w:rPr>
          <w:rFonts w:ascii="Arial" w:hAnsi="Arial" w:cs="Arial"/>
        </w:rPr>
      </w:pPr>
    </w:p>
    <w:p w:rsidR="00A316C2" w:rsidRDefault="004A6A5F" w:rsidP="00A316C2">
      <w:pPr>
        <w:ind w:right="311"/>
        <w:jc w:val="both"/>
        <w:rPr>
          <w:rFonts w:ascii="Arial" w:hAnsi="Arial" w:cs="Arial"/>
        </w:rPr>
      </w:pPr>
      <w:r>
        <w:rPr>
          <w:rFonts w:ascii="Arial" w:hAnsi="Arial" w:cs="Arial"/>
        </w:rPr>
        <w:t>Der Grosse Stadtrat heisst die Vorlage des Stadtrats vom 17. Januar 2017: SH POWER Erhöhung der Beteiligung an der Etawatt AG und die angepassten Anträge in der Schlussabstimmung mit 18:11 Stimmen wie folgt gut:</w:t>
      </w:r>
    </w:p>
    <w:p w:rsidR="004A6A5F" w:rsidRDefault="004A6A5F" w:rsidP="00A316C2">
      <w:pPr>
        <w:ind w:right="311"/>
        <w:jc w:val="both"/>
        <w:rPr>
          <w:rFonts w:ascii="Arial" w:hAnsi="Arial" w:cs="Arial"/>
        </w:rPr>
      </w:pPr>
    </w:p>
    <w:p w:rsidR="004A6A5F" w:rsidRDefault="004A6A5F" w:rsidP="004A6A5F">
      <w:pPr>
        <w:pStyle w:val="Listenabsatz"/>
        <w:numPr>
          <w:ilvl w:val="0"/>
          <w:numId w:val="27"/>
        </w:numPr>
        <w:ind w:right="311"/>
        <w:jc w:val="both"/>
        <w:rPr>
          <w:rFonts w:ascii="Arial" w:hAnsi="Arial" w:cs="Arial"/>
        </w:rPr>
      </w:pPr>
      <w:r w:rsidRPr="004A6A5F">
        <w:rPr>
          <w:rFonts w:ascii="Arial" w:hAnsi="Arial" w:cs="Arial"/>
        </w:rPr>
        <w:t>Der Grosse Stadtrat nimmt Kenntnis von der Vorlage des Stadtrats vom 17. Januar 2017 betreffend Erhöhung der Beteiligung an der Etawatt AG.</w:t>
      </w:r>
    </w:p>
    <w:p w:rsidR="004A6A5F" w:rsidRPr="004A6A5F" w:rsidRDefault="004A6A5F" w:rsidP="004A6A5F">
      <w:pPr>
        <w:ind w:right="311"/>
        <w:jc w:val="both"/>
        <w:rPr>
          <w:rFonts w:ascii="Arial" w:hAnsi="Arial" w:cs="Arial"/>
        </w:rPr>
      </w:pPr>
    </w:p>
    <w:p w:rsidR="004A6A5F" w:rsidRDefault="004A6A5F" w:rsidP="004A6A5F">
      <w:pPr>
        <w:pStyle w:val="Listenabsatz"/>
        <w:numPr>
          <w:ilvl w:val="0"/>
          <w:numId w:val="27"/>
        </w:numPr>
        <w:ind w:right="311"/>
        <w:jc w:val="both"/>
        <w:rPr>
          <w:rFonts w:ascii="Arial" w:hAnsi="Arial" w:cs="Arial"/>
        </w:rPr>
      </w:pPr>
      <w:r w:rsidRPr="004A6A5F">
        <w:rPr>
          <w:rFonts w:ascii="Arial" w:hAnsi="Arial" w:cs="Arial"/>
        </w:rPr>
        <w:t xml:space="preserve">Der Grosse Stadtrat genehmigt eine Investition im Umfang von 1‘800‘050 Franken zur Erhöhung der Beteiligung von SH POWER an der Etawatt durch Zeichnung von 1‘295 Aktien. </w:t>
      </w:r>
    </w:p>
    <w:p w:rsidR="004A6A5F" w:rsidRPr="004A6A5F" w:rsidRDefault="004A6A5F" w:rsidP="004A6A5F">
      <w:pPr>
        <w:pStyle w:val="Listenabsatz"/>
        <w:rPr>
          <w:rFonts w:ascii="Arial" w:hAnsi="Arial" w:cs="Arial"/>
        </w:rPr>
      </w:pPr>
    </w:p>
    <w:p w:rsidR="004A6A5F" w:rsidRPr="004A6A5F" w:rsidRDefault="004A6A5F" w:rsidP="004A6A5F">
      <w:pPr>
        <w:pStyle w:val="Listenabsatz"/>
        <w:numPr>
          <w:ilvl w:val="0"/>
          <w:numId w:val="27"/>
        </w:numPr>
        <w:ind w:right="311"/>
        <w:jc w:val="both"/>
        <w:rPr>
          <w:rFonts w:ascii="Arial" w:hAnsi="Arial" w:cs="Arial"/>
        </w:rPr>
      </w:pPr>
      <w:r w:rsidRPr="004A6A5F">
        <w:rPr>
          <w:rFonts w:ascii="Arial" w:hAnsi="Arial" w:cs="Arial"/>
        </w:rPr>
        <w:t>Der Grosse Stadtrat genehmigt die Finanzierung der Aktienkapitalerhöhung durch SH POWER zu Lasten der Investitionsrechnung von SH POWER:</w:t>
      </w:r>
    </w:p>
    <w:p w:rsidR="004A6A5F" w:rsidRPr="004A6A5F" w:rsidRDefault="004A6A5F" w:rsidP="004E3D41">
      <w:pPr>
        <w:pStyle w:val="Listenabsatz"/>
        <w:numPr>
          <w:ilvl w:val="0"/>
          <w:numId w:val="28"/>
        </w:numPr>
        <w:ind w:right="311"/>
        <w:jc w:val="both"/>
        <w:rPr>
          <w:rFonts w:ascii="Arial" w:hAnsi="Arial" w:cs="Arial"/>
        </w:rPr>
      </w:pPr>
      <w:r w:rsidRPr="004A6A5F">
        <w:rPr>
          <w:rFonts w:ascii="Arial" w:hAnsi="Arial" w:cs="Arial"/>
        </w:rPr>
        <w:t>zu Lasten der Investitionsrechnung der Stromversorgung Schaffhausen:</w:t>
      </w:r>
      <w:r>
        <w:rPr>
          <w:rFonts w:ascii="Arial" w:hAnsi="Arial" w:cs="Arial"/>
        </w:rPr>
        <w:br/>
      </w:r>
      <w:r w:rsidRPr="004A6A5F">
        <w:rPr>
          <w:rFonts w:ascii="Arial" w:hAnsi="Arial" w:cs="Arial"/>
        </w:rPr>
        <w:t>799‘250 Franken</w:t>
      </w:r>
    </w:p>
    <w:p w:rsidR="004A6A5F" w:rsidRDefault="004A6A5F" w:rsidP="00F14992">
      <w:pPr>
        <w:pStyle w:val="Listenabsatz"/>
        <w:numPr>
          <w:ilvl w:val="0"/>
          <w:numId w:val="28"/>
        </w:numPr>
        <w:ind w:right="311"/>
        <w:jc w:val="both"/>
        <w:rPr>
          <w:rFonts w:ascii="Arial" w:hAnsi="Arial" w:cs="Arial"/>
        </w:rPr>
      </w:pPr>
      <w:r w:rsidRPr="004A6A5F">
        <w:rPr>
          <w:rFonts w:ascii="Arial" w:hAnsi="Arial" w:cs="Arial"/>
        </w:rPr>
        <w:t>zu Lasten der Investitionsrechnung der Gasversorgung Schaffhausen:</w:t>
      </w:r>
      <w:r>
        <w:rPr>
          <w:rFonts w:ascii="Arial" w:hAnsi="Arial" w:cs="Arial"/>
        </w:rPr>
        <w:br/>
      </w:r>
      <w:r w:rsidRPr="004A6A5F">
        <w:rPr>
          <w:rFonts w:ascii="Arial" w:hAnsi="Arial" w:cs="Arial"/>
        </w:rPr>
        <w:t>1‘000‘800 Franken</w:t>
      </w:r>
    </w:p>
    <w:p w:rsidR="004A6A5F" w:rsidRPr="004A6A5F" w:rsidRDefault="004A6A5F" w:rsidP="004A6A5F">
      <w:pPr>
        <w:ind w:right="311"/>
        <w:jc w:val="both"/>
        <w:rPr>
          <w:rFonts w:ascii="Arial" w:hAnsi="Arial" w:cs="Arial"/>
        </w:rPr>
      </w:pPr>
    </w:p>
    <w:p w:rsidR="004A6A5F" w:rsidRDefault="004A6A5F" w:rsidP="004A6A5F">
      <w:pPr>
        <w:pStyle w:val="Listenabsatz"/>
        <w:numPr>
          <w:ilvl w:val="0"/>
          <w:numId w:val="27"/>
        </w:numPr>
        <w:ind w:right="311"/>
        <w:jc w:val="both"/>
        <w:rPr>
          <w:rFonts w:ascii="Arial" w:hAnsi="Arial" w:cs="Arial"/>
          <w:lang w:val="de-CH"/>
        </w:rPr>
      </w:pPr>
      <w:r w:rsidRPr="004A6A5F">
        <w:rPr>
          <w:rFonts w:ascii="Arial" w:hAnsi="Arial" w:cs="Arial"/>
          <w:lang w:val="de-CH"/>
        </w:rPr>
        <w:t>Die Stadt verzichtet auf die Ausübung der übrigen ihr zustehenden Bezugsrechte aus der am 2. März 2017 beschlossenen Kapitalerhöhung.</w:t>
      </w:r>
    </w:p>
    <w:p w:rsidR="004A6A5F" w:rsidRPr="004A6A5F" w:rsidRDefault="004A6A5F" w:rsidP="004A6A5F">
      <w:pPr>
        <w:ind w:right="311"/>
        <w:jc w:val="both"/>
        <w:rPr>
          <w:rFonts w:ascii="Arial" w:hAnsi="Arial" w:cs="Arial"/>
          <w:lang w:val="de-CH"/>
        </w:rPr>
      </w:pPr>
    </w:p>
    <w:p w:rsidR="004A6A5F" w:rsidRDefault="004A6A5F" w:rsidP="004A6A5F">
      <w:pPr>
        <w:pStyle w:val="Listenabsatz"/>
        <w:numPr>
          <w:ilvl w:val="0"/>
          <w:numId w:val="27"/>
        </w:numPr>
        <w:ind w:right="311"/>
        <w:jc w:val="both"/>
        <w:rPr>
          <w:rFonts w:ascii="Arial" w:hAnsi="Arial" w:cs="Arial"/>
          <w:lang w:val="de-CH"/>
        </w:rPr>
      </w:pPr>
      <w:r w:rsidRPr="004A6A5F">
        <w:rPr>
          <w:rFonts w:ascii="Arial" w:hAnsi="Arial" w:cs="Arial"/>
          <w:lang w:val="de-CH"/>
        </w:rPr>
        <w:t>Die nicht ausgeübten Bezugsrechte verfallen.</w:t>
      </w:r>
    </w:p>
    <w:p w:rsidR="004A6A5F" w:rsidRPr="004A6A5F" w:rsidRDefault="004A6A5F" w:rsidP="004A6A5F">
      <w:pPr>
        <w:pStyle w:val="Listenabsatz"/>
        <w:rPr>
          <w:rFonts w:ascii="Arial" w:hAnsi="Arial" w:cs="Arial"/>
          <w:lang w:val="de-CH"/>
        </w:rPr>
      </w:pPr>
    </w:p>
    <w:p w:rsidR="004A6A5F" w:rsidRDefault="004A6A5F" w:rsidP="004A6A5F">
      <w:pPr>
        <w:pStyle w:val="Listenabsatz"/>
        <w:numPr>
          <w:ilvl w:val="0"/>
          <w:numId w:val="27"/>
        </w:numPr>
        <w:ind w:right="311"/>
        <w:jc w:val="both"/>
        <w:rPr>
          <w:rFonts w:ascii="Arial" w:hAnsi="Arial" w:cs="Arial"/>
          <w:lang w:val="de-CH"/>
        </w:rPr>
      </w:pPr>
      <w:r w:rsidRPr="004A6A5F">
        <w:rPr>
          <w:rFonts w:ascii="Arial" w:hAnsi="Arial" w:cs="Arial"/>
          <w:lang w:val="de-CH"/>
        </w:rPr>
        <w:t>Ziffer 2 und 3 dieses Beschlusses werden nach Art. 11 in Verbindung mit Art. 25 lit. e der Stadtverfassung vom 25. September 2011 dem fakultativen Referendum unterstellt.</w:t>
      </w:r>
    </w:p>
    <w:p w:rsidR="00A24A67" w:rsidRPr="00A24A67" w:rsidRDefault="00A24A67" w:rsidP="00A24A67">
      <w:pPr>
        <w:pStyle w:val="Listenabsatz"/>
        <w:rPr>
          <w:rFonts w:ascii="Arial" w:hAnsi="Arial" w:cs="Arial"/>
          <w:lang w:val="de-CH"/>
        </w:rPr>
      </w:pPr>
    </w:p>
    <w:p w:rsidR="00A24A67" w:rsidRDefault="00A24A67" w:rsidP="00A24A67">
      <w:pPr>
        <w:ind w:right="311"/>
        <w:jc w:val="both"/>
        <w:rPr>
          <w:rFonts w:ascii="Arial" w:hAnsi="Arial" w:cs="Arial"/>
          <w:lang w:val="de-CH"/>
        </w:rPr>
      </w:pPr>
    </w:p>
    <w:p w:rsidR="00A24A67" w:rsidRDefault="00A24A67" w:rsidP="00A24A67">
      <w:pPr>
        <w:ind w:right="311"/>
        <w:jc w:val="both"/>
        <w:rPr>
          <w:rFonts w:ascii="Arial" w:hAnsi="Arial" w:cs="Arial"/>
          <w:lang w:val="de-CH"/>
        </w:rPr>
      </w:pPr>
    </w:p>
    <w:p w:rsidR="00A24A67" w:rsidRDefault="00A24A67" w:rsidP="00A24A67">
      <w:pPr>
        <w:ind w:right="311"/>
        <w:jc w:val="both"/>
        <w:rPr>
          <w:rFonts w:ascii="Arial" w:hAnsi="Arial" w:cs="Arial"/>
          <w:lang w:val="de-CH"/>
        </w:rPr>
      </w:pPr>
    </w:p>
    <w:p w:rsidR="00A24A67" w:rsidRDefault="00A24A67" w:rsidP="00A24A67">
      <w:pPr>
        <w:ind w:right="311"/>
        <w:jc w:val="both"/>
        <w:rPr>
          <w:rFonts w:ascii="Arial" w:hAnsi="Arial" w:cs="Arial"/>
          <w:lang w:val="de-CH"/>
        </w:rPr>
      </w:pPr>
    </w:p>
    <w:p w:rsidR="00A24A67" w:rsidRPr="00A24A67" w:rsidRDefault="00A24A67" w:rsidP="00A24A67">
      <w:pPr>
        <w:ind w:right="311"/>
        <w:jc w:val="both"/>
        <w:rPr>
          <w:rFonts w:ascii="Arial" w:hAnsi="Arial" w:cs="Arial"/>
          <w:lang w:val="de-CH"/>
        </w:rPr>
      </w:pPr>
    </w:p>
    <w:p w:rsidR="00E42B36" w:rsidRPr="00E42B36" w:rsidRDefault="00E42B36" w:rsidP="00E42B36">
      <w:pPr>
        <w:ind w:right="311"/>
        <w:jc w:val="both"/>
        <w:rPr>
          <w:rFonts w:ascii="Arial" w:hAnsi="Arial" w:cs="Arial"/>
          <w:lang w:val="de-CH"/>
        </w:rPr>
      </w:pPr>
    </w:p>
    <w:p w:rsidR="00E42B36" w:rsidRDefault="00E42B36" w:rsidP="0051303D">
      <w:pPr>
        <w:ind w:left="2124" w:right="311" w:hanging="2124"/>
        <w:jc w:val="both"/>
        <w:rPr>
          <w:rFonts w:ascii="Arial" w:hAnsi="Arial" w:cs="Arial"/>
          <w:b/>
        </w:rPr>
      </w:pPr>
    </w:p>
    <w:p w:rsidR="00A316C2" w:rsidRDefault="00E97CDC" w:rsidP="00A24A67">
      <w:pPr>
        <w:ind w:left="2124" w:right="311" w:hanging="2124"/>
        <w:jc w:val="both"/>
        <w:rPr>
          <w:rFonts w:ascii="Arial" w:hAnsi="Arial" w:cs="Arial"/>
          <w:b/>
        </w:rPr>
      </w:pPr>
      <w:r>
        <w:rPr>
          <w:rFonts w:ascii="Arial" w:hAnsi="Arial" w:cs="Arial"/>
          <w:b/>
        </w:rPr>
        <w:lastRenderedPageBreak/>
        <w:t>Traktandum 2</w:t>
      </w:r>
      <w:r>
        <w:rPr>
          <w:rFonts w:ascii="Arial" w:hAnsi="Arial" w:cs="Arial"/>
          <w:b/>
        </w:rPr>
        <w:tab/>
      </w:r>
      <w:r w:rsidR="00A24A67">
        <w:rPr>
          <w:rFonts w:ascii="Arial" w:hAnsi="Arial" w:cs="Arial"/>
          <w:b/>
        </w:rPr>
        <w:t>Vorlage des Stadtrats vom 4. April 2017:</w:t>
      </w:r>
    </w:p>
    <w:p w:rsidR="00A24A67" w:rsidRDefault="00A24A67" w:rsidP="00A24A67">
      <w:pPr>
        <w:ind w:left="2124" w:right="311" w:hanging="2124"/>
        <w:jc w:val="both"/>
        <w:rPr>
          <w:rFonts w:ascii="Arial" w:hAnsi="Arial" w:cs="Arial"/>
          <w:b/>
        </w:rPr>
      </w:pPr>
      <w:r>
        <w:rPr>
          <w:rFonts w:ascii="Arial" w:hAnsi="Arial" w:cs="Arial"/>
          <w:b/>
        </w:rPr>
        <w:tab/>
        <w:t>Mehr ÖV für Herblingen</w:t>
      </w:r>
    </w:p>
    <w:p w:rsidR="00A24A67" w:rsidRDefault="00A24A67" w:rsidP="00A24A67">
      <w:pPr>
        <w:ind w:left="2124" w:right="311" w:hanging="2124"/>
        <w:jc w:val="both"/>
        <w:rPr>
          <w:rFonts w:ascii="Arial" w:hAnsi="Arial" w:cs="Arial"/>
          <w:b/>
        </w:rPr>
      </w:pPr>
      <w:r>
        <w:rPr>
          <w:rFonts w:ascii="Arial" w:hAnsi="Arial" w:cs="Arial"/>
          <w:b/>
        </w:rPr>
        <w:tab/>
        <w:t>(Erweiterung VBSH-Liniennetz in Herblingen)</w:t>
      </w:r>
    </w:p>
    <w:p w:rsidR="00E97CDC" w:rsidRDefault="00E97CDC" w:rsidP="00E97CDC">
      <w:pPr>
        <w:ind w:left="2124" w:hanging="2124"/>
        <w:jc w:val="both"/>
        <w:rPr>
          <w:rFonts w:ascii="Arial" w:hAnsi="Arial" w:cs="Arial"/>
          <w:b/>
        </w:rPr>
      </w:pPr>
      <w:r>
        <w:rPr>
          <w:rFonts w:ascii="Arial" w:hAnsi="Arial" w:cs="Arial"/>
          <w:b/>
        </w:rPr>
        <w:t>___________________________________________________________________</w:t>
      </w:r>
    </w:p>
    <w:p w:rsidR="009B3709" w:rsidRDefault="009B3709" w:rsidP="00C91732">
      <w:pPr>
        <w:ind w:right="311"/>
        <w:jc w:val="both"/>
        <w:rPr>
          <w:rFonts w:ascii="Arial" w:hAnsi="Arial" w:cs="Arial"/>
        </w:rPr>
      </w:pPr>
    </w:p>
    <w:p w:rsidR="00A24A67" w:rsidRDefault="00A24A67" w:rsidP="00C91732">
      <w:pPr>
        <w:ind w:right="311"/>
        <w:jc w:val="both"/>
        <w:rPr>
          <w:rFonts w:ascii="Arial" w:hAnsi="Arial" w:cs="Arial"/>
        </w:rPr>
      </w:pPr>
      <w:r>
        <w:rPr>
          <w:rFonts w:ascii="Arial" w:hAnsi="Arial" w:cs="Arial"/>
        </w:rPr>
        <w:t xml:space="preserve">Der Grosse Stadtrat heisst die Vorlage des Stadtrats vom 4. April 2017: Mehr ÖV für Herblingen (Erweiterung VBSH-Liniennetz in Herblingen), den ergänzenden </w:t>
      </w:r>
      <w:r w:rsidR="006C413D">
        <w:rPr>
          <w:rFonts w:ascii="Arial" w:hAnsi="Arial" w:cs="Arial"/>
        </w:rPr>
        <w:t xml:space="preserve">Planungsbericht zur Umzonung Buswendeplatz Gründliacker des Stadtrats </w:t>
      </w:r>
      <w:r>
        <w:rPr>
          <w:rFonts w:ascii="Arial" w:hAnsi="Arial" w:cs="Arial"/>
        </w:rPr>
        <w:t>vom 23. Mai 2017 mit den Beilagen und die angepassten Anträge in der Schlussabstimmung mit 33:0 Stimmen wie folgt gut:</w:t>
      </w:r>
    </w:p>
    <w:p w:rsidR="00A24A67" w:rsidRDefault="00A24A67" w:rsidP="00C91732">
      <w:pPr>
        <w:ind w:right="311"/>
        <w:jc w:val="both"/>
        <w:rPr>
          <w:rFonts w:ascii="Arial" w:hAnsi="Arial" w:cs="Arial"/>
        </w:rPr>
      </w:pPr>
    </w:p>
    <w:p w:rsidR="00A24A67" w:rsidRDefault="00A24A67" w:rsidP="00A9284D">
      <w:pPr>
        <w:pStyle w:val="Listenabsatz"/>
        <w:numPr>
          <w:ilvl w:val="0"/>
          <w:numId w:val="29"/>
        </w:numPr>
        <w:ind w:right="311"/>
        <w:jc w:val="both"/>
        <w:rPr>
          <w:rFonts w:ascii="Arial" w:hAnsi="Arial" w:cs="Arial"/>
        </w:rPr>
      </w:pPr>
      <w:r w:rsidRPr="00A9284D">
        <w:rPr>
          <w:rFonts w:ascii="Arial" w:hAnsi="Arial" w:cs="Arial"/>
        </w:rPr>
        <w:t xml:space="preserve">Der Grosse Stadtrat nimmt Kenntnis von der Vorlage des Stadtrats vom 4. April 2017 betreffend „Mehr ÖV für Herblingen (Erweiterung VBSH-Liniennetz in Herblingen) sowie vom Planungsbericht „Zonenplanänderung Nr. 16, Buswendeplatz Gründliacker (GB Nr. 20515) mit Stand vom 17. Mai 2017 inklusive Situationsplan. </w:t>
      </w:r>
    </w:p>
    <w:p w:rsidR="00A9284D" w:rsidRPr="00A9284D" w:rsidRDefault="00A9284D" w:rsidP="00A9284D">
      <w:pPr>
        <w:ind w:right="311"/>
        <w:jc w:val="both"/>
        <w:rPr>
          <w:rFonts w:ascii="Arial" w:hAnsi="Arial" w:cs="Arial"/>
        </w:rPr>
      </w:pPr>
    </w:p>
    <w:p w:rsidR="00A316C2" w:rsidRDefault="00A24A67" w:rsidP="00A9284D">
      <w:pPr>
        <w:pStyle w:val="Kopfzeile"/>
        <w:numPr>
          <w:ilvl w:val="0"/>
          <w:numId w:val="29"/>
        </w:numPr>
        <w:tabs>
          <w:tab w:val="clear" w:pos="4536"/>
          <w:tab w:val="clear" w:pos="9072"/>
        </w:tabs>
        <w:ind w:right="311"/>
        <w:jc w:val="both"/>
        <w:rPr>
          <w:rFonts w:ascii="Arial" w:hAnsi="Arial" w:cs="Arial"/>
          <w:lang w:val="de-CH"/>
        </w:rPr>
      </w:pPr>
      <w:r>
        <w:rPr>
          <w:rFonts w:ascii="Arial" w:hAnsi="Arial" w:cs="Arial"/>
          <w:lang w:val="de-CH"/>
        </w:rPr>
        <w:t xml:space="preserve">Der Grosse Stadtrat stimmt der Erweiterung des VBSH-Liniennetzes in Herblingen mit Einführung auf den Fahrplanwechsel im Dezember 2018 oder 2019 </w:t>
      </w:r>
      <w:r w:rsidRPr="00A24A67">
        <w:rPr>
          <w:rFonts w:ascii="Arial" w:hAnsi="Arial" w:cs="Arial"/>
          <w:lang w:val="de-CH"/>
        </w:rPr>
        <w:t>mit der Option einer raschen Ausweitung des Betriebs der Linie 9 von Montag bis Samstag</w:t>
      </w:r>
      <w:r>
        <w:rPr>
          <w:rFonts w:ascii="Arial" w:hAnsi="Arial" w:cs="Arial"/>
          <w:lang w:val="de-CH"/>
        </w:rPr>
        <w:t xml:space="preserve"> zu. </w:t>
      </w:r>
    </w:p>
    <w:p w:rsidR="00A9284D" w:rsidRDefault="00A9284D" w:rsidP="00A9284D">
      <w:pPr>
        <w:pStyle w:val="Listenabsatz"/>
        <w:jc w:val="both"/>
        <w:rPr>
          <w:rFonts w:ascii="Arial" w:hAnsi="Arial" w:cs="Arial"/>
          <w:lang w:val="de-CH"/>
        </w:rPr>
      </w:pPr>
    </w:p>
    <w:p w:rsidR="00E42B36" w:rsidRDefault="00A9284D" w:rsidP="00A9284D">
      <w:pPr>
        <w:pStyle w:val="Kopfzeile"/>
        <w:numPr>
          <w:ilvl w:val="0"/>
          <w:numId w:val="29"/>
        </w:numPr>
        <w:tabs>
          <w:tab w:val="clear" w:pos="4536"/>
          <w:tab w:val="clear" w:pos="9072"/>
        </w:tabs>
        <w:ind w:right="311"/>
        <w:jc w:val="both"/>
        <w:rPr>
          <w:rFonts w:ascii="Arial" w:hAnsi="Arial" w:cs="Arial"/>
        </w:rPr>
      </w:pPr>
      <w:r w:rsidRPr="00A9284D">
        <w:rPr>
          <w:rFonts w:ascii="Arial" w:hAnsi="Arial" w:cs="Arial"/>
        </w:rPr>
        <w:t>Der Grosse Stadtrat bewilligt die wiederkehrenden Ausgaben der VBSH zur Umsetzung des Konzeptes in der Höhe von 895'000 Franken zu Lasten der Betriebsrechnung der VBSH ab dem Jahr 2019. Er bewilligt zudem die in diesem Zusammenhang höheren Abgeltungen der Stadt Schaffhausen an die VBSH ab 2019 im Umfang von 570‘000 Franken zu Lasten Konto 3500.363.002 (Verkehrsbetriebe Schaffhausen, Abgeltung der ungedeckten Kosten, Anteil Stadt).</w:t>
      </w:r>
    </w:p>
    <w:p w:rsidR="00A9284D" w:rsidRDefault="00A9284D" w:rsidP="00A9284D">
      <w:pPr>
        <w:pStyle w:val="Listenabsatz"/>
        <w:jc w:val="both"/>
        <w:rPr>
          <w:rFonts w:ascii="Arial" w:hAnsi="Arial" w:cs="Arial"/>
        </w:rPr>
      </w:pPr>
    </w:p>
    <w:p w:rsidR="00A9284D" w:rsidRDefault="00A9284D" w:rsidP="00A9284D">
      <w:pPr>
        <w:pStyle w:val="Kopfzeile"/>
        <w:numPr>
          <w:ilvl w:val="0"/>
          <w:numId w:val="29"/>
        </w:numPr>
        <w:tabs>
          <w:tab w:val="clear" w:pos="4536"/>
          <w:tab w:val="clear" w:pos="9072"/>
        </w:tabs>
        <w:ind w:right="311"/>
        <w:jc w:val="both"/>
        <w:rPr>
          <w:rFonts w:ascii="Arial" w:hAnsi="Arial" w:cs="Arial"/>
        </w:rPr>
      </w:pPr>
      <w:r w:rsidRPr="00A9284D">
        <w:rPr>
          <w:rFonts w:ascii="Arial" w:hAnsi="Arial" w:cs="Arial"/>
        </w:rPr>
        <w:t>Der Grosse Stadtrat bewilligt einen Investitionskredit in der Höhe von 780'000 Franken zu Lasten der Investitionsrechnung der Verkehrsbetriebe Schaffhausen für die Anschaffung der benötigten zwei zusätzlichen Fahrzeuge (Standardbusse 12 m).</w:t>
      </w:r>
    </w:p>
    <w:p w:rsidR="00A9284D" w:rsidRDefault="00A9284D" w:rsidP="00A9284D">
      <w:pPr>
        <w:pStyle w:val="Listenabsatz"/>
        <w:jc w:val="both"/>
        <w:rPr>
          <w:rFonts w:ascii="Arial" w:hAnsi="Arial" w:cs="Arial"/>
        </w:rPr>
      </w:pPr>
    </w:p>
    <w:p w:rsidR="00A9284D" w:rsidRPr="00A9284D" w:rsidRDefault="00A9284D" w:rsidP="00A9284D">
      <w:pPr>
        <w:pStyle w:val="Kopfzeile"/>
        <w:numPr>
          <w:ilvl w:val="0"/>
          <w:numId w:val="29"/>
        </w:numPr>
        <w:tabs>
          <w:tab w:val="clear" w:pos="4536"/>
          <w:tab w:val="clear" w:pos="9072"/>
        </w:tabs>
        <w:ind w:right="311"/>
        <w:jc w:val="both"/>
        <w:rPr>
          <w:rFonts w:ascii="Arial" w:hAnsi="Arial" w:cs="Arial"/>
        </w:rPr>
      </w:pPr>
      <w:r w:rsidRPr="00A9284D">
        <w:rPr>
          <w:rFonts w:ascii="Arial" w:hAnsi="Arial" w:cs="Arial"/>
        </w:rPr>
        <w:t xml:space="preserve">Der Grosse Stadtrat bewilligt einen Investitionskredit für die Infrastrukturarbeiten (Bau von Haltestellen, Wartehallen, Aufhebung von Haltestellen, Bus-Schleuse </w:t>
      </w:r>
      <w:r>
        <w:rPr>
          <w:rFonts w:ascii="Arial" w:hAnsi="Arial" w:cs="Arial"/>
        </w:rPr>
        <w:t>„</w:t>
      </w:r>
      <w:r w:rsidRPr="00A9284D">
        <w:rPr>
          <w:rFonts w:ascii="Arial" w:hAnsi="Arial" w:cs="Arial"/>
        </w:rPr>
        <w:t>Im Brüel</w:t>
      </w:r>
      <w:r>
        <w:rPr>
          <w:rFonts w:ascii="Arial" w:hAnsi="Arial" w:cs="Arial"/>
        </w:rPr>
        <w:t>“</w:t>
      </w:r>
      <w:r w:rsidRPr="00A9284D">
        <w:rPr>
          <w:rFonts w:ascii="Arial" w:hAnsi="Arial" w:cs="Arial"/>
        </w:rPr>
        <w:t xml:space="preserve">) in der Höhe von 850‘000 Franken (Kostengenauigkeit ±30%) zu Lasten Konto 63101.501.779, </w:t>
      </w:r>
      <w:r>
        <w:rPr>
          <w:rFonts w:ascii="Arial" w:hAnsi="Arial" w:cs="Arial"/>
        </w:rPr>
        <w:t>„</w:t>
      </w:r>
      <w:r w:rsidRPr="00A9284D">
        <w:rPr>
          <w:rFonts w:ascii="Arial" w:hAnsi="Arial" w:cs="Arial"/>
        </w:rPr>
        <w:t>Infrastruktur VBSH-Netzerweiterung Herblingen (Agglomerationsprogramm Massnahme 20)</w:t>
      </w:r>
      <w:r>
        <w:rPr>
          <w:rFonts w:ascii="Arial" w:hAnsi="Arial" w:cs="Arial"/>
        </w:rPr>
        <w:t>“</w:t>
      </w:r>
      <w:r w:rsidRPr="00A9284D">
        <w:rPr>
          <w:rFonts w:ascii="Arial" w:hAnsi="Arial" w:cs="Arial"/>
        </w:rPr>
        <w:t>. Der Grosse Stadtrat nimmt Kenntnis davon, dass im Bruttokredit bereits vom Stadtrat genehmigte Planungskosten in der Höhe von 70'000 Franken enthalten sind. Weiter nimmt er davon Kenntnis, dass die Kredite für den Landkauf (Konto 32300.500.000, 60‘000 Franken) und den Bau des Buswendeplatzes Gründliacker (Konto 63100. 501.778, 290‘000 Franken) bereits mit dem Budget 2017 bewilligt wurden und dass für die Infrastrukturarbeiten die Mitfinanzierung durch Bund und Kanton im Rahmen des Agglomerationsprogrammes I beantragt werden.</w:t>
      </w:r>
      <w:r w:rsidRPr="00A9284D">
        <w:t xml:space="preserve"> </w:t>
      </w:r>
    </w:p>
    <w:p w:rsidR="00A9284D" w:rsidRDefault="00A9284D" w:rsidP="00A9284D">
      <w:pPr>
        <w:pStyle w:val="Listenabsatz"/>
        <w:jc w:val="both"/>
        <w:rPr>
          <w:rFonts w:ascii="Arial" w:hAnsi="Arial" w:cs="Arial"/>
        </w:rPr>
      </w:pPr>
    </w:p>
    <w:p w:rsidR="009B3709" w:rsidRPr="00A9284D" w:rsidRDefault="00A9284D" w:rsidP="00A9284D">
      <w:pPr>
        <w:pStyle w:val="Kopfzeile"/>
        <w:numPr>
          <w:ilvl w:val="0"/>
          <w:numId w:val="29"/>
        </w:numPr>
        <w:tabs>
          <w:tab w:val="clear" w:pos="4536"/>
          <w:tab w:val="clear" w:pos="9072"/>
        </w:tabs>
        <w:ind w:right="311"/>
        <w:jc w:val="both"/>
        <w:rPr>
          <w:rFonts w:ascii="Arial" w:hAnsi="Arial" w:cs="Arial"/>
        </w:rPr>
      </w:pPr>
      <w:r w:rsidRPr="00A9284D">
        <w:rPr>
          <w:rFonts w:ascii="Arial" w:hAnsi="Arial" w:cs="Arial"/>
        </w:rPr>
        <w:t>Der Grosse Stadtrat stimmt der Zonenplanänderung Nr. 16 ‹Bau Buswendeplatz Gründliacker in Herblingen› (ESSH, GB Nr. 20515) gemäss Situationsplan zu.</w:t>
      </w:r>
    </w:p>
    <w:p w:rsidR="009B3709" w:rsidRDefault="00A9284D" w:rsidP="00A9284D">
      <w:pPr>
        <w:pStyle w:val="Kopfzeile"/>
        <w:numPr>
          <w:ilvl w:val="0"/>
          <w:numId w:val="29"/>
        </w:numPr>
        <w:tabs>
          <w:tab w:val="clear" w:pos="4536"/>
          <w:tab w:val="clear" w:pos="9072"/>
        </w:tabs>
        <w:ind w:right="311"/>
        <w:jc w:val="both"/>
        <w:rPr>
          <w:rFonts w:ascii="Arial" w:hAnsi="Arial" w:cs="Arial"/>
        </w:rPr>
      </w:pPr>
      <w:r w:rsidRPr="00A9284D">
        <w:rPr>
          <w:rFonts w:ascii="Arial" w:hAnsi="Arial" w:cs="Arial"/>
        </w:rPr>
        <w:t>Die Beschlussziffern 2 bis 5 werden gemäss Art. 10 lit. d, e und f der Stadtverfassung gemeinsam dem obligatorischen Referendum unterstellt. Sie treten in Kraft unter der Voraussetzung der Zustimmung des Kantons zur Umzonung.</w:t>
      </w:r>
    </w:p>
    <w:p w:rsidR="009B3709" w:rsidRDefault="009B3709" w:rsidP="00A9284D">
      <w:pPr>
        <w:pStyle w:val="Kopfzeile"/>
        <w:tabs>
          <w:tab w:val="clear" w:pos="4536"/>
          <w:tab w:val="clear" w:pos="9072"/>
        </w:tabs>
        <w:ind w:right="311"/>
        <w:jc w:val="both"/>
        <w:rPr>
          <w:rFonts w:ascii="Arial" w:hAnsi="Arial" w:cs="Arial"/>
        </w:rPr>
      </w:pPr>
    </w:p>
    <w:p w:rsidR="009B3709" w:rsidRDefault="009B3709" w:rsidP="00C91732">
      <w:pPr>
        <w:pStyle w:val="Kopfzeile"/>
        <w:tabs>
          <w:tab w:val="clear" w:pos="4536"/>
          <w:tab w:val="clear" w:pos="9072"/>
        </w:tabs>
        <w:ind w:right="311"/>
        <w:rPr>
          <w:rFonts w:ascii="Arial" w:hAnsi="Arial" w:cs="Arial"/>
        </w:rPr>
      </w:pPr>
    </w:p>
    <w:p w:rsidR="0025043B" w:rsidRDefault="0025043B" w:rsidP="00C91732">
      <w:pPr>
        <w:pStyle w:val="Kopfzeile"/>
        <w:tabs>
          <w:tab w:val="clear" w:pos="4536"/>
          <w:tab w:val="clear" w:pos="9072"/>
        </w:tabs>
        <w:ind w:right="311"/>
        <w:rPr>
          <w:rFonts w:ascii="Arial" w:hAnsi="Arial" w:cs="Arial"/>
        </w:rPr>
      </w:pPr>
    </w:p>
    <w:p w:rsidR="0025043B" w:rsidRDefault="0025043B" w:rsidP="00C91732">
      <w:pPr>
        <w:pStyle w:val="Kopfzeile"/>
        <w:tabs>
          <w:tab w:val="clear" w:pos="4536"/>
          <w:tab w:val="clear" w:pos="9072"/>
        </w:tabs>
        <w:ind w:right="311"/>
        <w:rPr>
          <w:rFonts w:ascii="Arial" w:hAnsi="Arial" w:cs="Arial"/>
        </w:rPr>
      </w:pPr>
    </w:p>
    <w:p w:rsidR="0025043B" w:rsidRDefault="0025043B" w:rsidP="00C91732">
      <w:pPr>
        <w:pStyle w:val="Kopfzeile"/>
        <w:tabs>
          <w:tab w:val="clear" w:pos="4536"/>
          <w:tab w:val="clear" w:pos="9072"/>
        </w:tabs>
        <w:ind w:right="311"/>
        <w:rPr>
          <w:rFonts w:ascii="Arial" w:hAnsi="Arial" w:cs="Arial"/>
        </w:rPr>
      </w:pPr>
    </w:p>
    <w:p w:rsidR="0025043B" w:rsidRDefault="0025043B" w:rsidP="00C91732">
      <w:pPr>
        <w:pStyle w:val="Kopfzeile"/>
        <w:tabs>
          <w:tab w:val="clear" w:pos="4536"/>
          <w:tab w:val="clear" w:pos="9072"/>
        </w:tabs>
        <w:ind w:right="311"/>
        <w:rPr>
          <w:rFonts w:ascii="Arial" w:hAnsi="Arial" w:cs="Arial"/>
        </w:rPr>
      </w:pPr>
    </w:p>
    <w:p w:rsidR="00A54C57" w:rsidRDefault="00A54C57" w:rsidP="000236C3">
      <w:pPr>
        <w:ind w:right="72"/>
        <w:rPr>
          <w:rFonts w:ascii="Arial" w:hAnsi="Arial" w:cs="Arial"/>
          <w:caps/>
        </w:rPr>
      </w:pPr>
    </w:p>
    <w:p w:rsidR="00A54C57" w:rsidRDefault="00A54C57" w:rsidP="000236C3">
      <w:pPr>
        <w:ind w:right="72"/>
        <w:rPr>
          <w:rFonts w:ascii="Arial" w:hAnsi="Arial" w:cs="Arial"/>
          <w:caps/>
        </w:rPr>
      </w:pPr>
    </w:p>
    <w:p w:rsidR="00B55703" w:rsidRPr="005E00D6" w:rsidRDefault="005E00D6" w:rsidP="000236C3">
      <w:pPr>
        <w:ind w:right="72"/>
        <w:rPr>
          <w:rFonts w:ascii="Arial" w:hAnsi="Arial" w:cs="Arial"/>
          <w:caps/>
        </w:rPr>
      </w:pPr>
      <w:r w:rsidRPr="005E00D6">
        <w:rPr>
          <w:rFonts w:ascii="Arial" w:hAnsi="Arial" w:cs="Arial"/>
          <w:caps/>
        </w:rPr>
        <w:t>Im Namen des Grossen Stadtrates</w:t>
      </w:r>
    </w:p>
    <w:p w:rsidR="005E00D6" w:rsidRDefault="00E97CDC" w:rsidP="000236C3">
      <w:pPr>
        <w:ind w:right="72"/>
        <w:rPr>
          <w:rFonts w:ascii="Arial" w:hAnsi="Arial" w:cs="Arial"/>
        </w:rPr>
      </w:pPr>
      <w:r>
        <w:rPr>
          <w:rFonts w:ascii="Arial" w:hAnsi="Arial" w:cs="Arial"/>
        </w:rPr>
        <w:t>Der Präsident</w:t>
      </w:r>
      <w:r w:rsidR="005E00D6">
        <w:rPr>
          <w:rFonts w:ascii="Arial" w:hAnsi="Arial" w:cs="Arial"/>
        </w:rPr>
        <w:t>:</w:t>
      </w:r>
      <w:r w:rsidR="005E00D6">
        <w:rPr>
          <w:rFonts w:ascii="Arial" w:hAnsi="Arial" w:cs="Arial"/>
        </w:rPr>
        <w:tab/>
      </w:r>
      <w:r w:rsidR="005E00D6">
        <w:rPr>
          <w:rFonts w:ascii="Arial" w:hAnsi="Arial" w:cs="Arial"/>
        </w:rPr>
        <w:tab/>
        <w:t>Die Sekretärin:</w:t>
      </w:r>
    </w:p>
    <w:p w:rsidR="0051303D" w:rsidRDefault="0051303D"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410DC9" w:rsidRDefault="0051303D" w:rsidP="000236C3">
      <w:pPr>
        <w:ind w:right="72"/>
        <w:rPr>
          <w:rFonts w:ascii="Arial" w:hAnsi="Arial" w:cs="Arial"/>
        </w:rPr>
      </w:pPr>
      <w:r>
        <w:rPr>
          <w:rFonts w:ascii="Arial" w:hAnsi="Arial" w:cs="Arial"/>
        </w:rPr>
        <w:t>S</w:t>
      </w:r>
      <w:r w:rsidR="0093786D">
        <w:rPr>
          <w:rFonts w:ascii="Arial" w:hAnsi="Arial" w:cs="Arial"/>
        </w:rPr>
        <w:t>tefan Marti</w:t>
      </w:r>
      <w:r w:rsidR="0093786D">
        <w:rPr>
          <w:rFonts w:ascii="Arial" w:hAnsi="Arial" w:cs="Arial"/>
        </w:rPr>
        <w:tab/>
      </w:r>
      <w:r w:rsidR="005E00D6">
        <w:rPr>
          <w:rFonts w:ascii="Arial" w:hAnsi="Arial" w:cs="Arial"/>
        </w:rPr>
        <w:tab/>
      </w:r>
      <w:r w:rsidR="005E00D6">
        <w:rPr>
          <w:rFonts w:ascii="Arial" w:hAnsi="Arial" w:cs="Arial"/>
        </w:rPr>
        <w:tab/>
        <w:t>Gabriele Behring</w:t>
      </w:r>
    </w:p>
    <w:p w:rsidR="00E42B36" w:rsidRDefault="00E42B36"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9B3709" w:rsidRDefault="009B3709" w:rsidP="000236C3">
      <w:pPr>
        <w:ind w:right="72"/>
        <w:rPr>
          <w:rFonts w:ascii="Arial" w:hAnsi="Arial" w:cs="Arial"/>
        </w:rPr>
      </w:pPr>
    </w:p>
    <w:p w:rsidR="008B482F" w:rsidRDefault="00E42B36" w:rsidP="000236C3">
      <w:pPr>
        <w:ind w:right="72"/>
        <w:rPr>
          <w:rFonts w:ascii="Arial" w:hAnsi="Arial" w:cs="Arial"/>
        </w:rPr>
      </w:pPr>
      <w:r>
        <w:rPr>
          <w:rFonts w:ascii="Arial" w:hAnsi="Arial" w:cs="Arial"/>
        </w:rPr>
        <w:t>Sc</w:t>
      </w:r>
      <w:r w:rsidR="00410DC9">
        <w:rPr>
          <w:rFonts w:ascii="Arial" w:hAnsi="Arial" w:cs="Arial"/>
        </w:rPr>
        <w:t xml:space="preserve">haffhausen, </w:t>
      </w:r>
      <w:r w:rsidR="00A54C57">
        <w:rPr>
          <w:rFonts w:ascii="Arial" w:hAnsi="Arial" w:cs="Arial"/>
        </w:rPr>
        <w:t>7</w:t>
      </w:r>
      <w:r w:rsidR="00C15D58">
        <w:rPr>
          <w:rFonts w:ascii="Arial" w:hAnsi="Arial" w:cs="Arial"/>
        </w:rPr>
        <w:t xml:space="preserve">. </w:t>
      </w:r>
      <w:r w:rsidR="00A54C57">
        <w:rPr>
          <w:rFonts w:ascii="Arial" w:hAnsi="Arial" w:cs="Arial"/>
        </w:rPr>
        <w:t>Juni</w:t>
      </w:r>
      <w:r w:rsidR="00C91732">
        <w:rPr>
          <w:rFonts w:ascii="Arial" w:hAnsi="Arial" w:cs="Arial"/>
        </w:rPr>
        <w:t xml:space="preserve"> </w:t>
      </w:r>
      <w:r w:rsidR="00C15D58">
        <w:rPr>
          <w:rFonts w:ascii="Arial" w:hAnsi="Arial" w:cs="Arial"/>
        </w:rPr>
        <w:t>2017 gbehr</w:t>
      </w:r>
    </w:p>
    <w:sectPr w:rsidR="008B482F" w:rsidSect="0043195F">
      <w:headerReference w:type="even" r:id="rId8"/>
      <w:headerReference w:type="default" r:id="rId9"/>
      <w:pgSz w:w="11906" w:h="16838"/>
      <w:pgMar w:top="1417" w:right="110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02" w:rsidRDefault="00027902">
      <w:r>
        <w:separator/>
      </w:r>
    </w:p>
  </w:endnote>
  <w:endnote w:type="continuationSeparator" w:id="0">
    <w:p w:rsidR="00027902" w:rsidRDefault="0002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02" w:rsidRDefault="00027902">
      <w:r>
        <w:separator/>
      </w:r>
    </w:p>
  </w:footnote>
  <w:footnote w:type="continuationSeparator" w:id="0">
    <w:p w:rsidR="00027902" w:rsidRDefault="0002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42" w:rsidRDefault="00222594" w:rsidP="00525B11">
    <w:pPr>
      <w:pStyle w:val="Kopfzeile"/>
      <w:framePr w:wrap="around" w:vAnchor="text" w:hAnchor="margin" w:xAlign="right" w:y="1"/>
      <w:rPr>
        <w:rStyle w:val="Seitenzahl"/>
      </w:rPr>
    </w:pPr>
    <w:r>
      <w:rPr>
        <w:rStyle w:val="Seitenzahl"/>
      </w:rPr>
      <w:fldChar w:fldCharType="begin"/>
    </w:r>
    <w:r w:rsidR="00E84A42">
      <w:rPr>
        <w:rStyle w:val="Seitenzahl"/>
      </w:rPr>
      <w:instrText xml:space="preserve">PAGE  </w:instrText>
    </w:r>
    <w:r>
      <w:rPr>
        <w:rStyle w:val="Seitenzahl"/>
      </w:rPr>
      <w:fldChar w:fldCharType="end"/>
    </w:r>
  </w:p>
  <w:p w:rsidR="00E84A42" w:rsidRDefault="00E84A42" w:rsidP="00C1087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42" w:rsidRPr="00C1087E" w:rsidRDefault="00222594" w:rsidP="00525B11">
    <w:pPr>
      <w:pStyle w:val="Kopfzeile"/>
      <w:framePr w:wrap="around" w:vAnchor="text" w:hAnchor="margin" w:xAlign="right" w:y="1"/>
      <w:rPr>
        <w:rStyle w:val="Seitenzahl"/>
        <w:rFonts w:ascii="Arial" w:hAnsi="Arial" w:cs="Arial"/>
      </w:rPr>
    </w:pPr>
    <w:r w:rsidRPr="00C1087E">
      <w:rPr>
        <w:rStyle w:val="Seitenzahl"/>
        <w:rFonts w:ascii="Arial" w:hAnsi="Arial" w:cs="Arial"/>
      </w:rPr>
      <w:fldChar w:fldCharType="begin"/>
    </w:r>
    <w:r w:rsidR="00E84A42" w:rsidRPr="00C1087E">
      <w:rPr>
        <w:rStyle w:val="Seitenzahl"/>
        <w:rFonts w:ascii="Arial" w:hAnsi="Arial" w:cs="Arial"/>
      </w:rPr>
      <w:instrText xml:space="preserve">PAGE  </w:instrText>
    </w:r>
    <w:r w:rsidRPr="00C1087E">
      <w:rPr>
        <w:rStyle w:val="Seitenzahl"/>
        <w:rFonts w:ascii="Arial" w:hAnsi="Arial" w:cs="Arial"/>
      </w:rPr>
      <w:fldChar w:fldCharType="separate"/>
    </w:r>
    <w:r w:rsidR="00700F72">
      <w:rPr>
        <w:rStyle w:val="Seitenzahl"/>
        <w:rFonts w:ascii="Arial" w:hAnsi="Arial" w:cs="Arial"/>
        <w:noProof/>
      </w:rPr>
      <w:t>3</w:t>
    </w:r>
    <w:r w:rsidRPr="00C1087E">
      <w:rPr>
        <w:rStyle w:val="Seitenzahl"/>
        <w:rFonts w:ascii="Arial" w:hAnsi="Arial" w:cs="Arial"/>
      </w:rPr>
      <w:fldChar w:fldCharType="end"/>
    </w:r>
  </w:p>
  <w:p w:rsidR="00E84A42" w:rsidRPr="00C1087E" w:rsidRDefault="00E84A42" w:rsidP="00C1087E">
    <w:pPr>
      <w:pStyle w:val="Kopfzeile"/>
      <w:ind w:right="360"/>
      <w:rPr>
        <w:rFonts w:ascii="Arial" w:hAnsi="Arial" w:cs="Arial"/>
      </w:rPr>
    </w:pPr>
    <w:r w:rsidRPr="00C1087E">
      <w:rPr>
        <w:rFonts w:ascii="Arial" w:hAnsi="Arial" w:cs="Arial"/>
      </w:rPr>
      <w:t xml:space="preserve">Beschlussprotokoll Nr. </w:t>
    </w:r>
    <w:r w:rsidR="004A6A5F">
      <w:rPr>
        <w:rFonts w:ascii="Arial" w:hAnsi="Arial" w:cs="Arial"/>
      </w:rPr>
      <w:t>7</w:t>
    </w:r>
    <w:r>
      <w:rPr>
        <w:rFonts w:ascii="Arial" w:hAnsi="Arial" w:cs="Arial"/>
      </w:rPr>
      <w:t xml:space="preserve"> </w:t>
    </w:r>
    <w:r w:rsidRPr="00C1087E">
      <w:rPr>
        <w:rFonts w:ascii="Arial" w:hAnsi="Arial" w:cs="Arial"/>
      </w:rPr>
      <w:t xml:space="preserve">vom </w:t>
    </w:r>
    <w:r w:rsidR="004A6A5F">
      <w:rPr>
        <w:rFonts w:ascii="Arial" w:hAnsi="Arial" w:cs="Arial"/>
      </w:rPr>
      <w:t>6</w:t>
    </w:r>
    <w:r w:rsidR="00BF2556">
      <w:rPr>
        <w:rFonts w:ascii="Arial" w:hAnsi="Arial" w:cs="Arial"/>
      </w:rPr>
      <w:t xml:space="preserve">. </w:t>
    </w:r>
    <w:r w:rsidR="004A6A5F">
      <w:rPr>
        <w:rFonts w:ascii="Arial" w:hAnsi="Arial" w:cs="Arial"/>
      </w:rPr>
      <w:t>Juni</w:t>
    </w:r>
    <w:r w:rsidR="00BF2556">
      <w:rPr>
        <w:rFonts w:ascii="Arial" w:hAnsi="Arial" w:cs="Arial"/>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7CE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88FB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C02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657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24C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463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AA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04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E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3A6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B295C"/>
    <w:multiLevelType w:val="hybridMultilevel"/>
    <w:tmpl w:val="D592E6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A493AB1"/>
    <w:multiLevelType w:val="hybridMultilevel"/>
    <w:tmpl w:val="92EAA7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B7B0CB2"/>
    <w:multiLevelType w:val="hybridMultilevel"/>
    <w:tmpl w:val="8F88C0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BE924E1"/>
    <w:multiLevelType w:val="multilevel"/>
    <w:tmpl w:val="8DD23830"/>
    <w:lvl w:ilvl="0">
      <w:start w:val="1"/>
      <w:numFmt w:val="none"/>
      <w:lvlText w:val="3)"/>
      <w:lvlJc w:val="left"/>
      <w:pPr>
        <w:tabs>
          <w:tab w:val="num" w:pos="720"/>
        </w:tabs>
        <w:ind w:left="720" w:hanging="360"/>
      </w:pPr>
      <w:rPr>
        <w:rFonts w:hint="default"/>
      </w:rPr>
    </w:lvl>
    <w:lvl w:ilvl="1">
      <w:start w:val="1"/>
      <w:numFmt w:val="bullet"/>
      <w:lvlText w:val=""/>
      <w:lvlJc w:val="left"/>
      <w:pPr>
        <w:tabs>
          <w:tab w:val="num" w:pos="1421"/>
        </w:tabs>
        <w:ind w:left="1421" w:hanging="341"/>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6C1A4E"/>
    <w:multiLevelType w:val="hybridMultilevel"/>
    <w:tmpl w:val="CED695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0F601B69"/>
    <w:multiLevelType w:val="hybridMultilevel"/>
    <w:tmpl w:val="64B6148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BC5CB8"/>
    <w:multiLevelType w:val="hybridMultilevel"/>
    <w:tmpl w:val="9F82C632"/>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B3017"/>
    <w:multiLevelType w:val="hybridMultilevel"/>
    <w:tmpl w:val="4DB0BB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F666793"/>
    <w:multiLevelType w:val="hybridMultilevel"/>
    <w:tmpl w:val="6BC2668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9" w15:restartNumberingAfterBreak="0">
    <w:nsid w:val="45E92BC0"/>
    <w:multiLevelType w:val="hybridMultilevel"/>
    <w:tmpl w:val="3EA009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A31796C"/>
    <w:multiLevelType w:val="hybridMultilevel"/>
    <w:tmpl w:val="FA02D6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ADF0787"/>
    <w:multiLevelType w:val="hybridMultilevel"/>
    <w:tmpl w:val="126CFC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00D44F5"/>
    <w:multiLevelType w:val="hybridMultilevel"/>
    <w:tmpl w:val="11BEEDB0"/>
    <w:lvl w:ilvl="0" w:tplc="FC6087C6">
      <w:start w:val="1"/>
      <w:numFmt w:val="none"/>
      <w:lvlText w:val="3."/>
      <w:lvlJc w:val="left"/>
      <w:pPr>
        <w:tabs>
          <w:tab w:val="num" w:pos="720"/>
        </w:tabs>
        <w:ind w:left="720" w:hanging="360"/>
      </w:pPr>
      <w:rPr>
        <w:rFonts w:hint="default"/>
      </w:rPr>
    </w:lvl>
    <w:lvl w:ilvl="1" w:tplc="CDE8D954">
      <w:start w:val="1"/>
      <w:numFmt w:val="bullet"/>
      <w:lvlText w:val=""/>
      <w:lvlJc w:val="left"/>
      <w:pPr>
        <w:tabs>
          <w:tab w:val="num" w:pos="1421"/>
        </w:tabs>
        <w:ind w:left="1421" w:hanging="341"/>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E8E3F63"/>
    <w:multiLevelType w:val="hybridMultilevel"/>
    <w:tmpl w:val="DA882D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2AD5C1C"/>
    <w:multiLevelType w:val="hybridMultilevel"/>
    <w:tmpl w:val="C7DE31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2BC1306"/>
    <w:multiLevelType w:val="hybridMultilevel"/>
    <w:tmpl w:val="F7AE94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8082D4A"/>
    <w:multiLevelType w:val="hybridMultilevel"/>
    <w:tmpl w:val="6F3003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BB938AC"/>
    <w:multiLevelType w:val="hybridMultilevel"/>
    <w:tmpl w:val="AFBA1A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C8018A8"/>
    <w:multiLevelType w:val="hybridMultilevel"/>
    <w:tmpl w:val="42E25A0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0"/>
  </w:num>
  <w:num w:numId="4">
    <w:abstractNumId w:val="16"/>
  </w:num>
  <w:num w:numId="5">
    <w:abstractNumId w:val="15"/>
  </w:num>
  <w:num w:numId="6">
    <w:abstractNumId w:val="21"/>
  </w:num>
  <w:num w:numId="7">
    <w:abstractNumId w:val="2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26"/>
  </w:num>
  <w:num w:numId="21">
    <w:abstractNumId w:val="27"/>
  </w:num>
  <w:num w:numId="22">
    <w:abstractNumId w:val="23"/>
  </w:num>
  <w:num w:numId="23">
    <w:abstractNumId w:val="10"/>
  </w:num>
  <w:num w:numId="24">
    <w:abstractNumId w:val="19"/>
  </w:num>
  <w:num w:numId="25">
    <w:abstractNumId w:val="12"/>
  </w:num>
  <w:num w:numId="26">
    <w:abstractNumId w:val="24"/>
  </w:num>
  <w:num w:numId="27">
    <w:abstractNumId w:val="17"/>
  </w:num>
  <w:num w:numId="28">
    <w:abstractNumId w:val="18"/>
  </w:num>
  <w:num w:numId="2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3"/>
    <w:rsid w:val="000016CD"/>
    <w:rsid w:val="000156F1"/>
    <w:rsid w:val="000236C3"/>
    <w:rsid w:val="00027902"/>
    <w:rsid w:val="000314A4"/>
    <w:rsid w:val="0004467E"/>
    <w:rsid w:val="000579FC"/>
    <w:rsid w:val="00075E2F"/>
    <w:rsid w:val="00083264"/>
    <w:rsid w:val="00085478"/>
    <w:rsid w:val="0009172A"/>
    <w:rsid w:val="00094F1B"/>
    <w:rsid w:val="000A313B"/>
    <w:rsid w:val="000A324F"/>
    <w:rsid w:val="000A4FC4"/>
    <w:rsid w:val="000A60A1"/>
    <w:rsid w:val="000B3C9E"/>
    <w:rsid w:val="000B6D24"/>
    <w:rsid w:val="000D4E25"/>
    <w:rsid w:val="000D54E5"/>
    <w:rsid w:val="000E0C71"/>
    <w:rsid w:val="000E4BBE"/>
    <w:rsid w:val="0010084A"/>
    <w:rsid w:val="00101A41"/>
    <w:rsid w:val="00102953"/>
    <w:rsid w:val="001034A1"/>
    <w:rsid w:val="00120119"/>
    <w:rsid w:val="001210CE"/>
    <w:rsid w:val="00126C23"/>
    <w:rsid w:val="001348E2"/>
    <w:rsid w:val="00137616"/>
    <w:rsid w:val="00141F21"/>
    <w:rsid w:val="0015084C"/>
    <w:rsid w:val="00151EAD"/>
    <w:rsid w:val="0016097B"/>
    <w:rsid w:val="001616F4"/>
    <w:rsid w:val="00170916"/>
    <w:rsid w:val="00173184"/>
    <w:rsid w:val="001841A8"/>
    <w:rsid w:val="00194AD7"/>
    <w:rsid w:val="001A026A"/>
    <w:rsid w:val="001D052D"/>
    <w:rsid w:val="001D7997"/>
    <w:rsid w:val="001E6C6A"/>
    <w:rsid w:val="001F4EFF"/>
    <w:rsid w:val="001F5971"/>
    <w:rsid w:val="001F74E4"/>
    <w:rsid w:val="00204091"/>
    <w:rsid w:val="00210B17"/>
    <w:rsid w:val="00222252"/>
    <w:rsid w:val="00222594"/>
    <w:rsid w:val="00232514"/>
    <w:rsid w:val="00232935"/>
    <w:rsid w:val="00233593"/>
    <w:rsid w:val="0023363E"/>
    <w:rsid w:val="00233920"/>
    <w:rsid w:val="00235903"/>
    <w:rsid w:val="00235E80"/>
    <w:rsid w:val="0024148C"/>
    <w:rsid w:val="0025043B"/>
    <w:rsid w:val="002524AC"/>
    <w:rsid w:val="0026202B"/>
    <w:rsid w:val="002750FA"/>
    <w:rsid w:val="00276313"/>
    <w:rsid w:val="002864D3"/>
    <w:rsid w:val="002A55E3"/>
    <w:rsid w:val="002A67BE"/>
    <w:rsid w:val="002B0AE3"/>
    <w:rsid w:val="002B6D19"/>
    <w:rsid w:val="002B781A"/>
    <w:rsid w:val="002C6226"/>
    <w:rsid w:val="002C6F25"/>
    <w:rsid w:val="002D041D"/>
    <w:rsid w:val="002E4AFD"/>
    <w:rsid w:val="002F2E9E"/>
    <w:rsid w:val="00325FAA"/>
    <w:rsid w:val="003369AF"/>
    <w:rsid w:val="00346C88"/>
    <w:rsid w:val="0035291A"/>
    <w:rsid w:val="00354459"/>
    <w:rsid w:val="003566E6"/>
    <w:rsid w:val="00357A80"/>
    <w:rsid w:val="0036650E"/>
    <w:rsid w:val="0037316A"/>
    <w:rsid w:val="00375974"/>
    <w:rsid w:val="00375C81"/>
    <w:rsid w:val="00391E34"/>
    <w:rsid w:val="003B1E7F"/>
    <w:rsid w:val="003B33C3"/>
    <w:rsid w:val="003B7EE5"/>
    <w:rsid w:val="003C18C5"/>
    <w:rsid w:val="003C301F"/>
    <w:rsid w:val="003C316F"/>
    <w:rsid w:val="003D41FA"/>
    <w:rsid w:val="003D7999"/>
    <w:rsid w:val="003E062A"/>
    <w:rsid w:val="003E1405"/>
    <w:rsid w:val="003E2D65"/>
    <w:rsid w:val="0040297D"/>
    <w:rsid w:val="00403915"/>
    <w:rsid w:val="00405D8B"/>
    <w:rsid w:val="00405F51"/>
    <w:rsid w:val="00410DC9"/>
    <w:rsid w:val="00414A18"/>
    <w:rsid w:val="00420880"/>
    <w:rsid w:val="0043195F"/>
    <w:rsid w:val="00433F09"/>
    <w:rsid w:val="00436917"/>
    <w:rsid w:val="0044299B"/>
    <w:rsid w:val="00452D58"/>
    <w:rsid w:val="004728D3"/>
    <w:rsid w:val="00472A20"/>
    <w:rsid w:val="004760CD"/>
    <w:rsid w:val="0048127A"/>
    <w:rsid w:val="004954E5"/>
    <w:rsid w:val="00495E17"/>
    <w:rsid w:val="004A014B"/>
    <w:rsid w:val="004A1E60"/>
    <w:rsid w:val="004A2C88"/>
    <w:rsid w:val="004A3A79"/>
    <w:rsid w:val="004A6A5F"/>
    <w:rsid w:val="004D2315"/>
    <w:rsid w:val="004D43DA"/>
    <w:rsid w:val="004F53C9"/>
    <w:rsid w:val="0050599B"/>
    <w:rsid w:val="00506C7A"/>
    <w:rsid w:val="00512C03"/>
    <w:rsid w:val="0051303D"/>
    <w:rsid w:val="005143AB"/>
    <w:rsid w:val="0051527C"/>
    <w:rsid w:val="00525B11"/>
    <w:rsid w:val="005378FE"/>
    <w:rsid w:val="00551157"/>
    <w:rsid w:val="00556177"/>
    <w:rsid w:val="005668C8"/>
    <w:rsid w:val="0057145C"/>
    <w:rsid w:val="0057307B"/>
    <w:rsid w:val="0058200E"/>
    <w:rsid w:val="005827DC"/>
    <w:rsid w:val="00586A11"/>
    <w:rsid w:val="00591E73"/>
    <w:rsid w:val="005B0F56"/>
    <w:rsid w:val="005B392A"/>
    <w:rsid w:val="005C1C89"/>
    <w:rsid w:val="005D1B6A"/>
    <w:rsid w:val="005D5188"/>
    <w:rsid w:val="005D7C31"/>
    <w:rsid w:val="005E00D6"/>
    <w:rsid w:val="005E173F"/>
    <w:rsid w:val="00602B77"/>
    <w:rsid w:val="00602DFC"/>
    <w:rsid w:val="00606C6B"/>
    <w:rsid w:val="00627103"/>
    <w:rsid w:val="00641B3C"/>
    <w:rsid w:val="00641B60"/>
    <w:rsid w:val="00645F35"/>
    <w:rsid w:val="006606B4"/>
    <w:rsid w:val="00663B0F"/>
    <w:rsid w:val="00670817"/>
    <w:rsid w:val="006856CE"/>
    <w:rsid w:val="006C0F07"/>
    <w:rsid w:val="006C332E"/>
    <w:rsid w:val="006C413D"/>
    <w:rsid w:val="006D1974"/>
    <w:rsid w:val="006D38F5"/>
    <w:rsid w:val="006F4023"/>
    <w:rsid w:val="006F7BE7"/>
    <w:rsid w:val="00700F72"/>
    <w:rsid w:val="00710E3D"/>
    <w:rsid w:val="007216A2"/>
    <w:rsid w:val="00721BCD"/>
    <w:rsid w:val="00725CEF"/>
    <w:rsid w:val="00732550"/>
    <w:rsid w:val="007334A9"/>
    <w:rsid w:val="007711EB"/>
    <w:rsid w:val="007719D5"/>
    <w:rsid w:val="00772FE4"/>
    <w:rsid w:val="00781B10"/>
    <w:rsid w:val="007877A0"/>
    <w:rsid w:val="0079367A"/>
    <w:rsid w:val="007B00FA"/>
    <w:rsid w:val="007B5409"/>
    <w:rsid w:val="007D0332"/>
    <w:rsid w:val="007D3AD6"/>
    <w:rsid w:val="007F5FFE"/>
    <w:rsid w:val="00806E85"/>
    <w:rsid w:val="00807DC4"/>
    <w:rsid w:val="00812FAF"/>
    <w:rsid w:val="00815C45"/>
    <w:rsid w:val="008233AC"/>
    <w:rsid w:val="00851E8F"/>
    <w:rsid w:val="00855773"/>
    <w:rsid w:val="0086691C"/>
    <w:rsid w:val="0087096E"/>
    <w:rsid w:val="00875213"/>
    <w:rsid w:val="00877966"/>
    <w:rsid w:val="00877C34"/>
    <w:rsid w:val="008B482F"/>
    <w:rsid w:val="008C0C5F"/>
    <w:rsid w:val="008E0D4A"/>
    <w:rsid w:val="008E15AE"/>
    <w:rsid w:val="008F2B4D"/>
    <w:rsid w:val="00900197"/>
    <w:rsid w:val="009069CA"/>
    <w:rsid w:val="0091679A"/>
    <w:rsid w:val="00921541"/>
    <w:rsid w:val="0092267F"/>
    <w:rsid w:val="0093786D"/>
    <w:rsid w:val="0094108F"/>
    <w:rsid w:val="00944FB9"/>
    <w:rsid w:val="00961987"/>
    <w:rsid w:val="00973125"/>
    <w:rsid w:val="0097334A"/>
    <w:rsid w:val="00976A99"/>
    <w:rsid w:val="00993B75"/>
    <w:rsid w:val="009A6A2E"/>
    <w:rsid w:val="009B137D"/>
    <w:rsid w:val="009B3709"/>
    <w:rsid w:val="009B7245"/>
    <w:rsid w:val="009F286E"/>
    <w:rsid w:val="00A0308E"/>
    <w:rsid w:val="00A046DA"/>
    <w:rsid w:val="00A1296B"/>
    <w:rsid w:val="00A20880"/>
    <w:rsid w:val="00A24A67"/>
    <w:rsid w:val="00A27684"/>
    <w:rsid w:val="00A316C2"/>
    <w:rsid w:val="00A35F66"/>
    <w:rsid w:val="00A54017"/>
    <w:rsid w:val="00A542C8"/>
    <w:rsid w:val="00A54C57"/>
    <w:rsid w:val="00A706AF"/>
    <w:rsid w:val="00A739F3"/>
    <w:rsid w:val="00A742B3"/>
    <w:rsid w:val="00A829D8"/>
    <w:rsid w:val="00A840C2"/>
    <w:rsid w:val="00A9284D"/>
    <w:rsid w:val="00AB2139"/>
    <w:rsid w:val="00AD5170"/>
    <w:rsid w:val="00AD7A6F"/>
    <w:rsid w:val="00AE3DFF"/>
    <w:rsid w:val="00AF3159"/>
    <w:rsid w:val="00B06478"/>
    <w:rsid w:val="00B13145"/>
    <w:rsid w:val="00B1637A"/>
    <w:rsid w:val="00B217B4"/>
    <w:rsid w:val="00B24BC5"/>
    <w:rsid w:val="00B42A0A"/>
    <w:rsid w:val="00B44E42"/>
    <w:rsid w:val="00B512B7"/>
    <w:rsid w:val="00B5164A"/>
    <w:rsid w:val="00B5275A"/>
    <w:rsid w:val="00B5279A"/>
    <w:rsid w:val="00B530A1"/>
    <w:rsid w:val="00B53EBD"/>
    <w:rsid w:val="00B55703"/>
    <w:rsid w:val="00B5656D"/>
    <w:rsid w:val="00B66D5A"/>
    <w:rsid w:val="00B67094"/>
    <w:rsid w:val="00B75A47"/>
    <w:rsid w:val="00B76FF7"/>
    <w:rsid w:val="00B83765"/>
    <w:rsid w:val="00B87B9D"/>
    <w:rsid w:val="00B95693"/>
    <w:rsid w:val="00BA01BE"/>
    <w:rsid w:val="00BA0E94"/>
    <w:rsid w:val="00BA213C"/>
    <w:rsid w:val="00BA5680"/>
    <w:rsid w:val="00BC4705"/>
    <w:rsid w:val="00BD527E"/>
    <w:rsid w:val="00BD6CCA"/>
    <w:rsid w:val="00BE5677"/>
    <w:rsid w:val="00BF2556"/>
    <w:rsid w:val="00C03E4E"/>
    <w:rsid w:val="00C1087E"/>
    <w:rsid w:val="00C15D58"/>
    <w:rsid w:val="00C2020A"/>
    <w:rsid w:val="00C3639B"/>
    <w:rsid w:val="00C37E15"/>
    <w:rsid w:val="00C81C79"/>
    <w:rsid w:val="00C91732"/>
    <w:rsid w:val="00C9349C"/>
    <w:rsid w:val="00C957CC"/>
    <w:rsid w:val="00CC0CE4"/>
    <w:rsid w:val="00CC1819"/>
    <w:rsid w:val="00CC50F8"/>
    <w:rsid w:val="00CD156C"/>
    <w:rsid w:val="00CD28E8"/>
    <w:rsid w:val="00CD637D"/>
    <w:rsid w:val="00D03FFE"/>
    <w:rsid w:val="00D07A5D"/>
    <w:rsid w:val="00D264AB"/>
    <w:rsid w:val="00D37C71"/>
    <w:rsid w:val="00D42CD5"/>
    <w:rsid w:val="00D5071A"/>
    <w:rsid w:val="00D54817"/>
    <w:rsid w:val="00D57AE4"/>
    <w:rsid w:val="00D62A20"/>
    <w:rsid w:val="00D63B7B"/>
    <w:rsid w:val="00D776AE"/>
    <w:rsid w:val="00D8706E"/>
    <w:rsid w:val="00D87F2E"/>
    <w:rsid w:val="00D9647D"/>
    <w:rsid w:val="00DA3C07"/>
    <w:rsid w:val="00DD0A14"/>
    <w:rsid w:val="00DD256B"/>
    <w:rsid w:val="00DE4EA7"/>
    <w:rsid w:val="00DF4CF1"/>
    <w:rsid w:val="00E0112A"/>
    <w:rsid w:val="00E07E9C"/>
    <w:rsid w:val="00E26DE5"/>
    <w:rsid w:val="00E2792E"/>
    <w:rsid w:val="00E31496"/>
    <w:rsid w:val="00E31A0B"/>
    <w:rsid w:val="00E32615"/>
    <w:rsid w:val="00E340E3"/>
    <w:rsid w:val="00E350A0"/>
    <w:rsid w:val="00E42B36"/>
    <w:rsid w:val="00E461C8"/>
    <w:rsid w:val="00E47A15"/>
    <w:rsid w:val="00E616E2"/>
    <w:rsid w:val="00E65C2D"/>
    <w:rsid w:val="00E72C96"/>
    <w:rsid w:val="00E818F4"/>
    <w:rsid w:val="00E84A42"/>
    <w:rsid w:val="00E84CEF"/>
    <w:rsid w:val="00E97CDC"/>
    <w:rsid w:val="00EA7A5E"/>
    <w:rsid w:val="00EB7E19"/>
    <w:rsid w:val="00EC1C7A"/>
    <w:rsid w:val="00ED0BA5"/>
    <w:rsid w:val="00EE23AA"/>
    <w:rsid w:val="00EE28ED"/>
    <w:rsid w:val="00EE40FB"/>
    <w:rsid w:val="00EE4D56"/>
    <w:rsid w:val="00EF24A7"/>
    <w:rsid w:val="00F04EEC"/>
    <w:rsid w:val="00F110F1"/>
    <w:rsid w:val="00F17019"/>
    <w:rsid w:val="00F32200"/>
    <w:rsid w:val="00F3300A"/>
    <w:rsid w:val="00F34E31"/>
    <w:rsid w:val="00F422BE"/>
    <w:rsid w:val="00F51692"/>
    <w:rsid w:val="00F53EEB"/>
    <w:rsid w:val="00F55F23"/>
    <w:rsid w:val="00F60DD7"/>
    <w:rsid w:val="00F65CEB"/>
    <w:rsid w:val="00F80D25"/>
    <w:rsid w:val="00F814D8"/>
    <w:rsid w:val="00F86CEB"/>
    <w:rsid w:val="00FA57A0"/>
    <w:rsid w:val="00FB5C8B"/>
    <w:rsid w:val="00FC12A1"/>
    <w:rsid w:val="00FC6987"/>
    <w:rsid w:val="00FD3683"/>
    <w:rsid w:val="00FE0A27"/>
    <w:rsid w:val="00FE6F43"/>
    <w:rsid w:val="00FF1F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83CDF1-9B1F-4335-9172-BB732E03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703"/>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07E9C"/>
    <w:rPr>
      <w:rFonts w:ascii="Tahoma" w:hAnsi="Tahoma" w:cs="Tahoma"/>
      <w:sz w:val="16"/>
      <w:szCs w:val="16"/>
    </w:rPr>
  </w:style>
  <w:style w:type="paragraph" w:styleId="Kopfzeile">
    <w:name w:val="header"/>
    <w:basedOn w:val="Standard"/>
    <w:rsid w:val="00512C03"/>
    <w:pPr>
      <w:tabs>
        <w:tab w:val="center" w:pos="4536"/>
        <w:tab w:val="right" w:pos="9072"/>
      </w:tabs>
    </w:pPr>
    <w:rPr>
      <w:szCs w:val="20"/>
    </w:rPr>
  </w:style>
  <w:style w:type="paragraph" w:styleId="Textkrper2">
    <w:name w:val="Body Text 2"/>
    <w:basedOn w:val="Standard"/>
    <w:rsid w:val="00075E2F"/>
    <w:pPr>
      <w:jc w:val="both"/>
    </w:pPr>
    <w:rPr>
      <w:rFonts w:ascii="Arial" w:hAnsi="Arial"/>
      <w:sz w:val="22"/>
      <w:szCs w:val="20"/>
      <w:lang w:eastAsia="de-CH"/>
    </w:rPr>
  </w:style>
  <w:style w:type="character" w:styleId="Seitenzahl">
    <w:name w:val="page number"/>
    <w:basedOn w:val="Absatz-Standardschriftart"/>
    <w:rsid w:val="00C1087E"/>
  </w:style>
  <w:style w:type="paragraph" w:styleId="Fuzeile">
    <w:name w:val="footer"/>
    <w:basedOn w:val="Standard"/>
    <w:rsid w:val="00C1087E"/>
    <w:pPr>
      <w:tabs>
        <w:tab w:val="center" w:pos="4536"/>
        <w:tab w:val="right" w:pos="9072"/>
      </w:tabs>
    </w:pPr>
  </w:style>
  <w:style w:type="paragraph" w:styleId="Textkrper">
    <w:name w:val="Body Text"/>
    <w:basedOn w:val="Standard"/>
    <w:rsid w:val="00B530A1"/>
    <w:pPr>
      <w:spacing w:after="120"/>
    </w:pPr>
  </w:style>
  <w:style w:type="paragraph" w:styleId="StandardWeb">
    <w:name w:val="Normal (Web)"/>
    <w:basedOn w:val="Standard"/>
    <w:uiPriority w:val="99"/>
    <w:semiHidden/>
    <w:unhideWhenUsed/>
    <w:rsid w:val="00BF2556"/>
    <w:pPr>
      <w:spacing w:before="100" w:beforeAutospacing="1" w:after="100" w:afterAutospacing="1"/>
    </w:pPr>
    <w:rPr>
      <w:lang w:val="de-CH" w:eastAsia="de-CH"/>
    </w:rPr>
  </w:style>
  <w:style w:type="paragraph" w:styleId="Listenabsatz">
    <w:name w:val="List Paragraph"/>
    <w:basedOn w:val="Standard"/>
    <w:uiPriority w:val="34"/>
    <w:qFormat/>
    <w:rsid w:val="00E4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7577">
      <w:bodyDiv w:val="1"/>
      <w:marLeft w:val="0"/>
      <w:marRight w:val="0"/>
      <w:marTop w:val="0"/>
      <w:marBottom w:val="0"/>
      <w:divBdr>
        <w:top w:val="none" w:sz="0" w:space="0" w:color="auto"/>
        <w:left w:val="none" w:sz="0" w:space="0" w:color="auto"/>
        <w:bottom w:val="none" w:sz="0" w:space="0" w:color="auto"/>
        <w:right w:val="none" w:sz="0" w:space="0" w:color="auto"/>
      </w:divBdr>
    </w:div>
    <w:div w:id="225141944">
      <w:bodyDiv w:val="1"/>
      <w:marLeft w:val="0"/>
      <w:marRight w:val="0"/>
      <w:marTop w:val="0"/>
      <w:marBottom w:val="0"/>
      <w:divBdr>
        <w:top w:val="none" w:sz="0" w:space="0" w:color="auto"/>
        <w:left w:val="none" w:sz="0" w:space="0" w:color="auto"/>
        <w:bottom w:val="none" w:sz="0" w:space="0" w:color="auto"/>
        <w:right w:val="none" w:sz="0" w:space="0" w:color="auto"/>
      </w:divBdr>
    </w:div>
    <w:div w:id="229194919">
      <w:bodyDiv w:val="1"/>
      <w:marLeft w:val="0"/>
      <w:marRight w:val="0"/>
      <w:marTop w:val="0"/>
      <w:marBottom w:val="0"/>
      <w:divBdr>
        <w:top w:val="none" w:sz="0" w:space="0" w:color="auto"/>
        <w:left w:val="none" w:sz="0" w:space="0" w:color="auto"/>
        <w:bottom w:val="none" w:sz="0" w:space="0" w:color="auto"/>
        <w:right w:val="none" w:sz="0" w:space="0" w:color="auto"/>
      </w:divBdr>
    </w:div>
    <w:div w:id="339702405">
      <w:bodyDiv w:val="1"/>
      <w:marLeft w:val="0"/>
      <w:marRight w:val="0"/>
      <w:marTop w:val="0"/>
      <w:marBottom w:val="0"/>
      <w:divBdr>
        <w:top w:val="none" w:sz="0" w:space="0" w:color="auto"/>
        <w:left w:val="none" w:sz="0" w:space="0" w:color="auto"/>
        <w:bottom w:val="none" w:sz="0" w:space="0" w:color="auto"/>
        <w:right w:val="none" w:sz="0" w:space="0" w:color="auto"/>
      </w:divBdr>
    </w:div>
    <w:div w:id="780220889">
      <w:bodyDiv w:val="1"/>
      <w:marLeft w:val="0"/>
      <w:marRight w:val="0"/>
      <w:marTop w:val="0"/>
      <w:marBottom w:val="0"/>
      <w:divBdr>
        <w:top w:val="none" w:sz="0" w:space="0" w:color="auto"/>
        <w:left w:val="none" w:sz="0" w:space="0" w:color="auto"/>
        <w:bottom w:val="none" w:sz="0" w:space="0" w:color="auto"/>
        <w:right w:val="none" w:sz="0" w:space="0" w:color="auto"/>
      </w:divBdr>
    </w:div>
    <w:div w:id="958339800">
      <w:bodyDiv w:val="1"/>
      <w:marLeft w:val="0"/>
      <w:marRight w:val="0"/>
      <w:marTop w:val="0"/>
      <w:marBottom w:val="0"/>
      <w:divBdr>
        <w:top w:val="none" w:sz="0" w:space="0" w:color="auto"/>
        <w:left w:val="none" w:sz="0" w:space="0" w:color="auto"/>
        <w:bottom w:val="none" w:sz="0" w:space="0" w:color="auto"/>
        <w:right w:val="none" w:sz="0" w:space="0" w:color="auto"/>
      </w:divBdr>
    </w:div>
    <w:div w:id="1038579425">
      <w:bodyDiv w:val="1"/>
      <w:marLeft w:val="0"/>
      <w:marRight w:val="0"/>
      <w:marTop w:val="0"/>
      <w:marBottom w:val="0"/>
      <w:divBdr>
        <w:top w:val="none" w:sz="0" w:space="0" w:color="auto"/>
        <w:left w:val="none" w:sz="0" w:space="0" w:color="auto"/>
        <w:bottom w:val="none" w:sz="0" w:space="0" w:color="auto"/>
        <w:right w:val="none" w:sz="0" w:space="0" w:color="auto"/>
      </w:divBdr>
    </w:div>
    <w:div w:id="1202009813">
      <w:bodyDiv w:val="1"/>
      <w:marLeft w:val="0"/>
      <w:marRight w:val="0"/>
      <w:marTop w:val="0"/>
      <w:marBottom w:val="0"/>
      <w:divBdr>
        <w:top w:val="none" w:sz="0" w:space="0" w:color="auto"/>
        <w:left w:val="none" w:sz="0" w:space="0" w:color="auto"/>
        <w:bottom w:val="none" w:sz="0" w:space="0" w:color="auto"/>
        <w:right w:val="none" w:sz="0" w:space="0" w:color="auto"/>
      </w:divBdr>
    </w:div>
    <w:div w:id="1223641492">
      <w:bodyDiv w:val="1"/>
      <w:marLeft w:val="0"/>
      <w:marRight w:val="0"/>
      <w:marTop w:val="0"/>
      <w:marBottom w:val="0"/>
      <w:divBdr>
        <w:top w:val="none" w:sz="0" w:space="0" w:color="auto"/>
        <w:left w:val="none" w:sz="0" w:space="0" w:color="auto"/>
        <w:bottom w:val="none" w:sz="0" w:space="0" w:color="auto"/>
        <w:right w:val="none" w:sz="0" w:space="0" w:color="auto"/>
      </w:divBdr>
    </w:div>
    <w:div w:id="1247812117">
      <w:bodyDiv w:val="1"/>
      <w:marLeft w:val="0"/>
      <w:marRight w:val="0"/>
      <w:marTop w:val="0"/>
      <w:marBottom w:val="0"/>
      <w:divBdr>
        <w:top w:val="none" w:sz="0" w:space="0" w:color="auto"/>
        <w:left w:val="none" w:sz="0" w:space="0" w:color="auto"/>
        <w:bottom w:val="none" w:sz="0" w:space="0" w:color="auto"/>
        <w:right w:val="none" w:sz="0" w:space="0" w:color="auto"/>
      </w:divBdr>
    </w:div>
    <w:div w:id="1258053005">
      <w:bodyDiv w:val="1"/>
      <w:marLeft w:val="0"/>
      <w:marRight w:val="0"/>
      <w:marTop w:val="0"/>
      <w:marBottom w:val="0"/>
      <w:divBdr>
        <w:top w:val="none" w:sz="0" w:space="0" w:color="auto"/>
        <w:left w:val="none" w:sz="0" w:space="0" w:color="auto"/>
        <w:bottom w:val="none" w:sz="0" w:space="0" w:color="auto"/>
        <w:right w:val="none" w:sz="0" w:space="0" w:color="auto"/>
      </w:divBdr>
    </w:div>
    <w:div w:id="1400325106">
      <w:bodyDiv w:val="1"/>
      <w:marLeft w:val="0"/>
      <w:marRight w:val="0"/>
      <w:marTop w:val="0"/>
      <w:marBottom w:val="0"/>
      <w:divBdr>
        <w:top w:val="none" w:sz="0" w:space="0" w:color="auto"/>
        <w:left w:val="none" w:sz="0" w:space="0" w:color="auto"/>
        <w:bottom w:val="none" w:sz="0" w:space="0" w:color="auto"/>
        <w:right w:val="none" w:sz="0" w:space="0" w:color="auto"/>
      </w:divBdr>
    </w:div>
    <w:div w:id="1523860120">
      <w:bodyDiv w:val="1"/>
      <w:marLeft w:val="0"/>
      <w:marRight w:val="0"/>
      <w:marTop w:val="0"/>
      <w:marBottom w:val="0"/>
      <w:divBdr>
        <w:top w:val="none" w:sz="0" w:space="0" w:color="auto"/>
        <w:left w:val="none" w:sz="0" w:space="0" w:color="auto"/>
        <w:bottom w:val="none" w:sz="0" w:space="0" w:color="auto"/>
        <w:right w:val="none" w:sz="0" w:space="0" w:color="auto"/>
      </w:divBdr>
    </w:div>
    <w:div w:id="1603296671">
      <w:bodyDiv w:val="1"/>
      <w:marLeft w:val="0"/>
      <w:marRight w:val="0"/>
      <w:marTop w:val="0"/>
      <w:marBottom w:val="0"/>
      <w:divBdr>
        <w:top w:val="none" w:sz="0" w:space="0" w:color="auto"/>
        <w:left w:val="none" w:sz="0" w:space="0" w:color="auto"/>
        <w:bottom w:val="none" w:sz="0" w:space="0" w:color="auto"/>
        <w:right w:val="none" w:sz="0" w:space="0" w:color="auto"/>
      </w:divBdr>
    </w:div>
    <w:div w:id="1661303857">
      <w:bodyDiv w:val="1"/>
      <w:marLeft w:val="0"/>
      <w:marRight w:val="0"/>
      <w:marTop w:val="0"/>
      <w:marBottom w:val="0"/>
      <w:divBdr>
        <w:top w:val="none" w:sz="0" w:space="0" w:color="auto"/>
        <w:left w:val="none" w:sz="0" w:space="0" w:color="auto"/>
        <w:bottom w:val="none" w:sz="0" w:space="0" w:color="auto"/>
        <w:right w:val="none" w:sz="0" w:space="0" w:color="auto"/>
      </w:divBdr>
    </w:div>
    <w:div w:id="21283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4031</Characters>
  <Application>Microsoft Office Word</Application>
  <DocSecurity>4</DocSecurity>
  <Lines>155</Lines>
  <Paragraphs>36</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Behring</dc:creator>
  <cp:keywords/>
  <dc:description/>
  <cp:lastModifiedBy>Gnädinger Rebekka</cp:lastModifiedBy>
  <cp:revision>2</cp:revision>
  <cp:lastPrinted>2013-01-16T06:42:00Z</cp:lastPrinted>
  <dcterms:created xsi:type="dcterms:W3CDTF">2023-06-29T09:19:00Z</dcterms:created>
  <dcterms:modified xsi:type="dcterms:W3CDTF">2023-06-29T09:19:00Z</dcterms:modified>
</cp:coreProperties>
</file>